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9.wmf" ContentType="image/x-wmf"/>
  <Override PartName="/word/media/image10.wmf" ContentType="image/x-wmf"/>
  <Override PartName="/word/media/image13.wmf" ContentType="image/x-wmf"/>
  <Override PartName="/word/media/image21.wmf" ContentType="image/x-wmf"/>
  <Override PartName="/word/media/image8.wmf" ContentType="image/x-wmf"/>
  <Override PartName="/word/media/image12.wmf" ContentType="image/x-wmf"/>
  <Override PartName="/word/media/image20.wmf" ContentType="image/x-wmf"/>
  <Override PartName="/word/media/image7.wmf" ContentType="image/x-wmf"/>
  <Override PartName="/word/media/image11.wmf" ContentType="image/x-wmf"/>
  <Override PartName="/word/media/image19.wmf" ContentType="image/x-wmf"/>
  <Override PartName="/word/media/image1.png" ContentType="image/png"/>
  <Override PartName="/word/media/image18.wmf" ContentType="image/x-wmf"/>
  <Override PartName="/word/media/image17.wmf" ContentType="image/x-wmf"/>
  <Override PartName="/word/media/image16.wmf" ContentType="image/x-wmf"/>
  <Override PartName="/word/media/image15.wmf" ContentType="image/x-wmf"/>
  <Override PartName="/word/media/image22.wmf" ContentType="image/x-wmf"/>
  <Override PartName="/word/media/image14.wmf" ContentType="image/x-wmf"/>
  <Override PartName="/word/media/image2.wmf" ContentType="image/x-wmf"/>
  <Override PartName="/word/media/image3.wmf" ContentType="image/x-wmf"/>
  <Override PartName="/word/media/image4.wmf" ContentType="image/x-wmf"/>
  <Override PartName="/word/media/image5.wmf" ContentType="image/x-wmf"/>
  <Override PartName="/word/media/image6.wmf" ContentType="image/x-wmf"/>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6926" w:leader="none"/>
        </w:tabs>
        <w:jc w:val="center"/>
        <w:rPr>
          <w:b/>
          <w:sz w:val="24"/>
          <w:szCs w:val="24"/>
        </w:rPr>
      </w:pPr>
      <w:r>
        <w:rPr>
          <w:b/>
          <w:bCs/>
          <w:sz w:val="24"/>
          <w:szCs w:val="24"/>
        </w:rPr>
        <w:t xml:space="preserve">Договор поставки № </w:t>
      </w:r>
    </w:p>
    <w:p>
      <w:pPr>
        <w:pStyle w:val="Normal"/>
        <w:shd w:val="clear" w:color="auto" w:fill="FFFFFF"/>
        <w:rPr>
          <w:b/>
          <w:bCs/>
          <w:sz w:val="24"/>
          <w:szCs w:val="24"/>
        </w:rPr>
      </w:pPr>
      <w:r>
        <w:rPr>
          <w:b/>
          <w:bCs/>
          <w:sz w:val="24"/>
          <w:szCs w:val="24"/>
        </w:rPr>
      </w:r>
    </w:p>
    <w:p>
      <w:pPr>
        <w:pStyle w:val="Normal"/>
        <w:shd w:val="clear" w:color="auto" w:fill="FFFFFF"/>
        <w:tabs>
          <w:tab w:val="clear" w:pos="708"/>
          <w:tab w:val="right" w:pos="9639" w:leader="none"/>
        </w:tabs>
        <w:jc w:val="right"/>
        <w:rPr>
          <w:bCs/>
          <w:sz w:val="24"/>
          <w:szCs w:val="24"/>
        </w:rPr>
      </w:pPr>
      <w:r>
        <w:rPr>
          <w:bCs/>
          <w:sz w:val="24"/>
          <w:szCs w:val="24"/>
        </w:rPr>
        <w:t>г. Жигулевск</w:t>
        <w:tab/>
        <w:t xml:space="preserve">   «___» _________ 2026 г.</w:t>
      </w:r>
    </w:p>
    <w:p>
      <w:pPr>
        <w:pStyle w:val="Normal"/>
        <w:shd w:val="clear" w:color="auto" w:fill="FFFFFF"/>
        <w:tabs>
          <w:tab w:val="clear" w:pos="708"/>
          <w:tab w:val="right" w:pos="9639" w:leader="none"/>
        </w:tabs>
        <w:jc w:val="right"/>
        <w:rPr>
          <w:bCs/>
          <w:sz w:val="24"/>
          <w:szCs w:val="24"/>
        </w:rPr>
      </w:pPr>
      <w:r>
        <w:rPr>
          <w:bCs/>
          <w:sz w:val="24"/>
          <w:szCs w:val="24"/>
        </w:rPr>
      </w:r>
    </w:p>
    <w:p>
      <w:pPr>
        <w:pStyle w:val="Normal"/>
        <w:ind w:firstLine="709"/>
        <w:jc w:val="both"/>
        <w:rPr>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 xml:space="preserve">«Покупатель»), в лице _________, действующего на основании ___________, с одной стороны, и </w:t>
      </w:r>
    </w:p>
    <w:p>
      <w:pPr>
        <w:pStyle w:val="Normal"/>
        <w:ind w:firstLine="709"/>
        <w:jc w:val="both"/>
        <w:rPr>
          <w:sz w:val="24"/>
          <w:szCs w:val="24"/>
        </w:rPr>
      </w:pPr>
      <w:r>
        <w:rPr>
          <w:b/>
          <w:sz w:val="24"/>
          <w:szCs w:val="24"/>
        </w:rPr>
        <w:t>_____________</w:t>
      </w:r>
      <w:r>
        <w:rPr>
          <w:sz w:val="24"/>
          <w:szCs w:val="24"/>
        </w:rPr>
        <w:t xml:space="preserve"> (___________) (далее – «Поставщик»), в лице ____________, действующей на основании __________, с другой стороны, </w:t>
      </w:r>
    </w:p>
    <w:p>
      <w:pPr>
        <w:pStyle w:val="Normal"/>
        <w:ind w:firstLine="709"/>
        <w:jc w:val="both"/>
        <w:rPr>
          <w:sz w:val="24"/>
          <w:szCs w:val="24"/>
        </w:rPr>
      </w:pPr>
      <w:r>
        <w:rPr>
          <w:sz w:val="24"/>
          <w:szCs w:val="24"/>
        </w:rPr>
        <w:t xml:space="preserve">совместно в дальнейшем именуемые «Стороны», а по отдельности – «Сторона», </w:t>
        <w:br/>
      </w:r>
      <w:r>
        <w:rPr>
          <w:sz w:val="24"/>
          <w:szCs w:val="24"/>
          <w:lang w:eastAsia="en-US"/>
        </w:rPr>
        <w:t>по результатам проведенной Покупателем закупочной процедуры по лоту ______ (№ процедуры на ЭТП _________),</w:t>
      </w:r>
    </w:p>
    <w:p>
      <w:pPr>
        <w:pStyle w:val="Normal"/>
        <w:ind w:firstLine="709"/>
        <w:jc w:val="both"/>
        <w:rPr>
          <w:spacing w:val="10"/>
          <w:sz w:val="24"/>
          <w:szCs w:val="24"/>
        </w:rPr>
      </w:pPr>
      <w:r>
        <w:rPr>
          <w:sz w:val="24"/>
          <w:szCs w:val="24"/>
        </w:rPr>
        <w:t>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8"/>
          <w:tab w:val="left" w:pos="567" w:leader="none"/>
          <w:tab w:val="left" w:pos="1134" w:leader="none"/>
        </w:tabs>
        <w:ind w:left="0" w:firstLine="708"/>
        <w:jc w:val="both"/>
        <w:textAlignment w:val="baseline"/>
        <w:rPr>
          <w:sz w:val="24"/>
          <w:szCs w:val="24"/>
          <w:lang w:eastAsia="en-US"/>
        </w:rPr>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 xml:space="preserve">«Национальный режим» </w:t>
      </w:r>
      <w:r>
        <w:rPr>
          <w:sz w:val="24"/>
          <w:szCs w:val="24"/>
          <w:lang w:eastAsia="en-US"/>
        </w:rPr>
        <w:t>- установленные законодательством Российской Федерации условия, обеспечивающие предоставление (или непредоставление) для происходящей из иностранного государства продукции прав участия в закупке, равных с правами для продукции российского происхождения.</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tabs>
          <w:tab w:val="clear" w:pos="708"/>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8"/>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Normal"/>
        <w:ind w:firstLine="708"/>
        <w:jc w:val="both"/>
        <w:rPr>
          <w:sz w:val="24"/>
          <w:szCs w:val="24"/>
          <w:lang w:eastAsia="en-US"/>
        </w:rPr>
      </w:pPr>
      <w:r>
        <w:rPr>
          <w:b/>
          <w:sz w:val="24"/>
          <w:szCs w:val="24"/>
          <w:lang w:eastAsia="en-US"/>
        </w:rPr>
        <w:t>«Универсальный передаточный документ», «УПД»</w:t>
      </w:r>
      <w:r>
        <w:rPr>
          <w:sz w:val="24"/>
          <w:szCs w:val="24"/>
          <w:lang w:eastAsia="en-US"/>
        </w:rPr>
        <w:t xml:space="preserve"> – 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p>
    <w:p>
      <w:pPr>
        <w:pStyle w:val="Heading3"/>
        <w:keepNext w:val="false"/>
        <w:tabs>
          <w:tab w:val="clear" w:pos="708"/>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shd w:val="clear" w:color="auto" w:fill="FFFFFF"/>
        <w:ind w:firstLine="709"/>
        <w:jc w:val="center"/>
        <w:rPr>
          <w:bCs/>
          <w:sz w:val="24"/>
          <w:szCs w:val="24"/>
        </w:rPr>
      </w:pPr>
      <w:r>
        <w:rPr>
          <w:bCs/>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средств</w:t>
      </w:r>
      <w:r>
        <w:rPr>
          <w:rFonts w:eastAsia="Calibri"/>
          <w:bCs/>
          <w:sz w:val="24"/>
          <w:szCs w:val="24"/>
          <w:lang w:eastAsia="en-US"/>
        </w:rPr>
        <w:t>а</w:t>
      </w:r>
      <w:r>
        <w:rPr>
          <w:rFonts w:eastAsia="Calibri"/>
          <w:bCs/>
          <w:sz w:val="24"/>
          <w:szCs w:val="24"/>
          <w:lang w:eastAsia="en-US"/>
        </w:rPr>
        <w:t xml:space="preserve"> измерени</w:t>
      </w:r>
      <w:r>
        <w:rPr>
          <w:rFonts w:eastAsia="Calibri"/>
          <w:bCs/>
          <w:sz w:val="24"/>
          <w:szCs w:val="24"/>
          <w:lang w:eastAsia="en-US"/>
        </w:rPr>
        <w:t>я</w:t>
      </w:r>
      <w:r>
        <w:rPr>
          <w:rFonts w:eastAsia="Calibri"/>
          <w:bCs/>
          <w:sz w:val="24"/>
          <w:szCs w:val="24"/>
          <w:lang w:eastAsia="en-US"/>
        </w:rPr>
        <w:t xml:space="preserve"> для оборудования службы РЗАиМ Филиала ПАО «РусГидро» - «Жигулевская ГЭС» </w:t>
      </w:r>
      <w:r>
        <w:rPr>
          <w:bCs/>
          <w:sz w:val="24"/>
          <w:szCs w:val="24"/>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 - «Жигулевская ГЭС».</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Место поставки Товара: филиал ПАО «РусГидро» - «Жигулевская ГЭС», Московское шоссе, д.2, г. Жигулевск, Самарская обл., Российская Федерация, 445350</w:t>
      </w:r>
      <w:r>
        <w:rPr>
          <w:sz w:val="24"/>
          <w:szCs w:val="24"/>
        </w:rPr>
        <w:t xml:space="preserve"> (далее – «Место поставки»).</w:t>
      </w:r>
    </w:p>
    <w:p>
      <w:pPr>
        <w:pStyle w:val="Normal"/>
        <w:numPr>
          <w:ilvl w:val="1"/>
          <w:numId w:val="2"/>
        </w:numPr>
        <w:shd w:val="clear" w:color="auto" w:fill="FFFFFF"/>
        <w:tabs>
          <w:tab w:val="clear" w:pos="708"/>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Normal"/>
        <w:numPr>
          <w:ilvl w:val="2"/>
          <w:numId w:val="2"/>
        </w:numPr>
        <w:shd w:val="clear" w:color="auto" w:fill="FFFFFF"/>
        <w:tabs>
          <w:tab w:val="clear" w:pos="708"/>
          <w:tab w:val="left" w:pos="0" w:leader="none"/>
          <w:tab w:val="left" w:pos="1134" w:leader="none"/>
          <w:tab w:val="left" w:pos="1418" w:leader="none"/>
        </w:tabs>
        <w:ind w:left="0" w:firstLine="709"/>
        <w:jc w:val="both"/>
        <w:rPr>
          <w:bCs/>
          <w:sz w:val="24"/>
          <w:szCs w:val="24"/>
        </w:rPr>
      </w:pPr>
      <w:r>
        <w:rPr>
          <w:bCs/>
          <w:sz w:val="24"/>
          <w:szCs w:val="24"/>
        </w:rPr>
        <w:t>Начало – с даты подписания Договора.</w:t>
      </w:r>
    </w:p>
    <w:p>
      <w:pPr>
        <w:pStyle w:val="Normal"/>
        <w:numPr>
          <w:ilvl w:val="2"/>
          <w:numId w:val="2"/>
        </w:numPr>
        <w:shd w:val="clear" w:color="auto" w:fill="FFFFFF"/>
        <w:tabs>
          <w:tab w:val="clear" w:pos="708"/>
          <w:tab w:val="left" w:pos="0" w:leader="none"/>
          <w:tab w:val="left" w:pos="1134" w:leader="none"/>
          <w:tab w:val="left" w:pos="1418" w:leader="none"/>
        </w:tabs>
        <w:ind w:left="0" w:firstLine="709"/>
        <w:jc w:val="both"/>
        <w:rPr>
          <w:bCs/>
          <w:sz w:val="24"/>
          <w:szCs w:val="24"/>
        </w:rPr>
      </w:pPr>
      <w:r>
        <w:rPr>
          <w:bCs/>
          <w:sz w:val="24"/>
          <w:szCs w:val="24"/>
        </w:rPr>
        <w:t xml:space="preserve">Окончание – </w:t>
      </w:r>
      <w:r>
        <w:rPr>
          <w:bCs/>
          <w:sz w:val="24"/>
          <w:szCs w:val="24"/>
        </w:rPr>
        <w:t>до 15.12.2026 г</w:t>
      </w:r>
      <w:r>
        <w:rPr>
          <w:bCs/>
          <w:sz w:val="24"/>
          <w:szCs w:val="24"/>
        </w:rPr>
        <w:t>.</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Поставка одноэтапная в соответствии со сроком, указанным в п. 1.4</w:t>
      </w:r>
    </w:p>
    <w:p>
      <w:pPr>
        <w:pStyle w:val="Normal"/>
        <w:shd w:val="clear" w:color="auto" w:fill="FFFFFF"/>
        <w:tabs>
          <w:tab w:val="clear" w:pos="708"/>
          <w:tab w:val="left" w:pos="540" w:leader="none"/>
        </w:tabs>
        <w:ind w:left="1134" w:hanging="0"/>
        <w:jc w:val="both"/>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является т</w:t>
      </w:r>
      <w:r>
        <w:rPr>
          <w:bCs/>
          <w:sz w:val="24"/>
          <w:szCs w:val="24"/>
          <w:highlight w:val="lightGray"/>
        </w:rPr>
        <w:t>вердой</w:t>
      </w:r>
      <w:r>
        <w:rPr>
          <w:bCs/>
          <w:sz w:val="24"/>
          <w:szCs w:val="24"/>
        </w:rPr>
        <w:t xml:space="preserve"> и составляет</w:t>
      </w:r>
      <w:r>
        <w:rPr>
          <w:sz w:val="24"/>
          <w:szCs w:val="24"/>
        </w:rPr>
        <w:t xml:space="preserve"> _______________ (__________) рубля ___ копеек</w:t>
      </w:r>
      <w:r>
        <w:rPr>
          <w:bCs/>
          <w:sz w:val="24"/>
          <w:szCs w:val="24"/>
        </w:rPr>
        <w:t xml:space="preserve"> без учета НДС, при этом НДС исчисляется дополнительно по ставке, установленной ст. 164 Налогового Кодекса Российской Федерации (далее - НК РФ).</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  </w:t>
      </w: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color="auto" w:fill="FFFFFF"/>
        <w:tabs>
          <w:tab w:val="clear" w:pos="708"/>
          <w:tab w:val="left" w:pos="1418" w:leader="none"/>
        </w:tabs>
        <w:ind w:left="0" w:firstLine="709"/>
        <w:jc w:val="both"/>
        <w:rPr>
          <w:bCs/>
          <w:sz w:val="24"/>
          <w:szCs w:val="24"/>
          <w:highlight w:val="lightGray"/>
        </w:rPr>
      </w:pPr>
      <w:r>
        <w:rPr>
          <w:bCs/>
          <w:sz w:val="24"/>
          <w:szCs w:val="24"/>
          <w:highlight w:val="lightGray"/>
        </w:rPr>
        <w:t>производство и / или приобретение Товара;</w:t>
      </w:r>
    </w:p>
    <w:p>
      <w:pPr>
        <w:pStyle w:val="Normal"/>
        <w:numPr>
          <w:ilvl w:val="2"/>
          <w:numId w:val="2"/>
        </w:numPr>
        <w:shd w:val="clear" w:color="auto" w:fill="FFFFFF"/>
        <w:tabs>
          <w:tab w:val="clear" w:pos="708"/>
          <w:tab w:val="left" w:pos="1418" w:leader="none"/>
        </w:tabs>
        <w:ind w:left="0" w:firstLine="709"/>
        <w:jc w:val="both"/>
        <w:rPr>
          <w:bCs/>
          <w:sz w:val="24"/>
          <w:szCs w:val="24"/>
          <w:highlight w:val="lightGray"/>
        </w:rPr>
      </w:pPr>
      <w:r>
        <w:rPr>
          <w:bCs/>
          <w:sz w:val="24"/>
          <w:szCs w:val="24"/>
        </w:rPr>
        <w:t>транспортировку Товара до Места поставки, погрузку, разгрузку, перемещение по территории Покупателя</w:t>
      </w:r>
      <w:r>
        <w:rPr>
          <w:rStyle w:val="FootnoteReference"/>
          <w:sz w:val="24"/>
          <w:szCs w:val="24"/>
        </w:rPr>
        <w:footnoteReference w:id="2"/>
      </w:r>
      <w:r>
        <w:rPr>
          <w:bCs/>
          <w:sz w:val="24"/>
          <w:szCs w:val="24"/>
        </w:rPr>
        <w:t xml:space="preserve">, стоимость тары и упаковки, лицензий, необходимых для использования Товара (если применимо);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8"/>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8"/>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Normal"/>
        <w:shd w:val="clear" w:color="auto" w:fill="FFFFFF"/>
        <w:tabs>
          <w:tab w:val="clear" w:pos="708"/>
          <w:tab w:val="left" w:pos="0" w:leader="none"/>
          <w:tab w:val="left" w:pos="1134" w:leader="none"/>
        </w:tabs>
        <w:ind w:firstLine="709"/>
        <w:jc w:val="both"/>
        <w:rPr>
          <w:sz w:val="24"/>
          <w:szCs w:val="24"/>
        </w:rPr>
      </w:pPr>
      <w:r>
        <w:rPr>
          <w:sz w:val="24"/>
          <w:szCs w:val="24"/>
        </w:rPr>
        <w:t>2.4.1 Авансовый платеж за Товар в размере 30 (тридцати) процентов от стоимости Товара без учета НДС, кроме того НДС по ставке, установленной статьей 164 НК РФ на дату выплаты авансового платежа,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 и с учетом пункта 2.4.3 Договора.</w:t>
      </w:r>
    </w:p>
    <w:p>
      <w:pPr>
        <w:pStyle w:val="Normal"/>
        <w:shd w:val="clear" w:color="auto" w:fill="FFFFFF"/>
        <w:tabs>
          <w:tab w:val="clear" w:pos="708"/>
          <w:tab w:val="left" w:pos="0" w:leader="none"/>
          <w:tab w:val="left" w:pos="1134" w:leader="none"/>
        </w:tabs>
        <w:ind w:firstLine="709"/>
        <w:jc w:val="both"/>
        <w:rPr>
          <w:sz w:val="24"/>
          <w:szCs w:val="24"/>
        </w:rPr>
      </w:pPr>
      <w:r>
        <w:rPr>
          <w:sz w:val="24"/>
          <w:szCs w:val="24"/>
        </w:rPr>
        <w:t>2.4.2. Последующий платеж в размере 70 % (семидесяти процентов) от стоимости Товара</w:t>
      </w:r>
      <w:r>
        <w:rPr/>
        <w:t xml:space="preserve"> </w:t>
      </w:r>
      <w:r>
        <w:rPr>
          <w:sz w:val="24"/>
          <w:szCs w:val="24"/>
        </w:rPr>
        <w:t>без учета НДС, кроме того НДС по ставке, установленной статьей 164 НК РФ на дату подписания Сторонами Накладной ТОРГ-12/УПД, выплачивается Поставщику в течение 7 (семи) рабочих дней с даты подписания Сторонами Накладной ТОРГ-12/УПД, на основании счета, выставленного Поставщиком, и с учетом пункта 2.4.3 Договора.</w:t>
      </w:r>
    </w:p>
    <w:p>
      <w:pPr>
        <w:pStyle w:val="Normal"/>
        <w:shd w:val="clear" w:color="auto" w:fill="FFFFFF"/>
        <w:tabs>
          <w:tab w:val="clear" w:pos="708"/>
          <w:tab w:val="left" w:pos="0" w:leader="none"/>
          <w:tab w:val="left" w:pos="1134" w:leader="none"/>
        </w:tabs>
        <w:ind w:firstLine="709"/>
        <w:jc w:val="both"/>
        <w:rPr>
          <w:sz w:val="24"/>
          <w:szCs w:val="24"/>
        </w:rPr>
      </w:pPr>
      <w:r>
        <w:rPr>
          <w:sz w:val="24"/>
          <w:szCs w:val="24"/>
        </w:rPr>
        <w:t>2.4.3. 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 xml:space="preserve">Поставщик обязан представить Покупателю счета-фактуры/УПД, выставленные в сроки и оформленные в порядке, установленном законодательством Российской Федерации. </w:t>
      </w:r>
    </w:p>
    <w:p>
      <w:pPr>
        <w:pStyle w:val="Normal"/>
        <w:shd w:val="clear" w:color="auto" w:fill="FFFFFF"/>
        <w:tabs>
          <w:tab w:val="clear" w:pos="708"/>
          <w:tab w:val="left" w:pos="0" w:leader="none"/>
          <w:tab w:val="left" w:pos="567" w:leader="none"/>
          <w:tab w:val="left" w:pos="716" w:leader="none"/>
          <w:tab w:val="left" w:pos="1134" w:leader="none"/>
        </w:tabs>
        <w:ind w:firstLine="709"/>
        <w:jc w:val="both"/>
        <w:rPr>
          <w:sz w:val="24"/>
          <w:szCs w:val="24"/>
        </w:rPr>
      </w:pPr>
      <w:r>
        <w:rPr>
          <w:sz w:val="24"/>
          <w:szCs w:val="24"/>
        </w:rPr>
        <w:t xml:space="preserve">В случае нарушения Поставщиком данного требования, он обязан произвести замену счета-фактуры/УПД в течение 3 (трех) рабочих дней с даты получения соответствующего письменного требования Покупателя. </w:t>
      </w:r>
    </w:p>
    <w:p>
      <w:pPr>
        <w:pStyle w:val="Normal"/>
        <w:shd w:val="clear" w:color="auto" w:fill="FFFFFF"/>
        <w:tabs>
          <w:tab w:val="clear" w:pos="708"/>
          <w:tab w:val="left" w:pos="0" w:leader="none"/>
          <w:tab w:val="left" w:pos="567" w:leader="none"/>
          <w:tab w:val="left" w:pos="716" w:leader="none"/>
          <w:tab w:val="left" w:pos="1134" w:leader="none"/>
        </w:tabs>
        <w:ind w:firstLine="709"/>
        <w:jc w:val="both"/>
        <w:rPr>
          <w:sz w:val="24"/>
          <w:szCs w:val="24"/>
        </w:rPr>
      </w:pPr>
      <w:r>
        <w:rPr>
          <w:sz w:val="24"/>
          <w:szCs w:val="24"/>
        </w:rPr>
        <w:t>В случае непредставления Поставщиком в течение 5 (пяти) календарных дней с даты получения авансового платежа счета-фактуры/УПД,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8"/>
          <w:tab w:val="left" w:pos="1276" w:leader="none"/>
        </w:tabs>
        <w:suppressAutoHyphens w:val="false"/>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Normal"/>
        <w:numPr>
          <w:ilvl w:val="1"/>
          <w:numId w:val="2"/>
        </w:numPr>
        <w:shd w:val="clear" w:color="auto" w:fill="FFFFFF"/>
        <w:tabs>
          <w:tab w:val="clear" w:pos="708"/>
          <w:tab w:val="left" w:pos="0" w:leader="none"/>
          <w:tab w:val="left" w:pos="567" w:leader="none"/>
          <w:tab w:val="left" w:pos="716" w:leader="none"/>
          <w:tab w:val="left" w:pos="851" w:leader="none"/>
          <w:tab w:val="left" w:pos="1134" w:leader="none"/>
        </w:tabs>
        <w:ind w:left="0" w:firstLine="709"/>
        <w:jc w:val="both"/>
        <w:rPr>
          <w:sz w:val="24"/>
          <w:szCs w:val="24"/>
        </w:rPr>
      </w:pPr>
      <w:r>
        <w:rPr>
          <w:sz w:val="24"/>
          <w:szCs w:val="24"/>
        </w:rPr>
        <w:t xml:space="preserve">  </w:t>
      </w:r>
      <w:r>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r>
        <w:rPr>
          <w:sz w:val="24"/>
        </w:rPr>
        <w:t xml:space="preserve"> </w:t>
      </w:r>
    </w:p>
    <w:p>
      <w:pPr>
        <w:pStyle w:val="Normal"/>
        <w:ind w:firstLine="709"/>
        <w:jc w:val="both"/>
        <w:rPr>
          <w:sz w:val="24"/>
          <w:szCs w:val="24"/>
        </w:rPr>
      </w:pPr>
      <w:r>
        <w:rPr>
          <w:sz w:val="24"/>
        </w:rPr>
        <w:t>Покупатель направляет Поставщику уведомление о проведении сальдо взаимных обязательств Сторон по Договору.</w:t>
      </w:r>
    </w:p>
    <w:p>
      <w:pPr>
        <w:pStyle w:val="Normal"/>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sz w:val="24"/>
          <w:szCs w:val="24"/>
        </w:rPr>
        <w:t>Поставка Товара осуществляется в Место поставки, указанное в пункте 1.3 Договора.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rPr>
        <w:t xml:space="preserve"> </w:t>
      </w:r>
      <w:r>
        <w:rPr>
          <w:bCs/>
          <w:sz w:val="24"/>
          <w:szCs w:val="24"/>
        </w:rPr>
        <w:t>в том числе, указанным в Спецификации (Приложение № 1 к Договору), а также Применимого права.</w:t>
      </w:r>
    </w:p>
    <w:p>
      <w:pPr>
        <w:pStyle w:val="Normal"/>
        <w:widowControl/>
        <w:shd w:val="clear" w:color="auto" w:fill="FFFFFF"/>
        <w:tabs>
          <w:tab w:val="clear" w:pos="708"/>
          <w:tab w:val="left" w:pos="1134" w:leader="none"/>
        </w:tabs>
        <w:ind w:firstLine="709"/>
        <w:jc w:val="both"/>
        <w:rPr>
          <w:bCs/>
          <w:sz w:val="24"/>
          <w:szCs w:val="24"/>
        </w:rPr>
      </w:pPr>
      <w:r>
        <w:rPr>
          <w:bCs/>
          <w:sz w:val="24"/>
          <w:szCs w:val="24"/>
          <w:highlight w:val="lightGray"/>
        </w:rPr>
        <w:t xml:space="preserve">Поставщик не вправе производить </w:t>
      </w:r>
      <w:r>
        <w:rPr>
          <w:sz w:val="24"/>
          <w:szCs w:val="24"/>
          <w:highlight w:val="lightGray"/>
        </w:rPr>
        <w:t>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10"/>
        </w:numPr>
        <w:tabs>
          <w:tab w:val="clear" w:pos="708"/>
          <w:tab w:val="left" w:pos="1418" w:leader="none"/>
        </w:tabs>
        <w:ind w:left="0" w:firstLine="709"/>
        <w:jc w:val="both"/>
        <w:rPr>
          <w:sz w:val="24"/>
          <w:szCs w:val="24"/>
        </w:rPr>
      </w:pPr>
      <w:r>
        <w:rPr>
          <w:sz w:val="24"/>
          <w:szCs w:val="24"/>
        </w:rPr>
        <w:t>сертификат качества в 1 (одном) экз.;</w:t>
      </w:r>
    </w:p>
    <w:p>
      <w:pPr>
        <w:pStyle w:val="Normal"/>
        <w:numPr>
          <w:ilvl w:val="0"/>
          <w:numId w:val="10"/>
        </w:numPr>
        <w:tabs>
          <w:tab w:val="clear" w:pos="708"/>
          <w:tab w:val="left" w:pos="1418" w:leader="none"/>
        </w:tabs>
        <w:ind w:left="0" w:firstLine="709"/>
        <w:jc w:val="both"/>
        <w:rPr>
          <w:sz w:val="24"/>
          <w:szCs w:val="24"/>
        </w:rPr>
      </w:pPr>
      <w:r>
        <w:rPr>
          <w:sz w:val="24"/>
          <w:szCs w:val="24"/>
        </w:rPr>
        <w:t>технический паспорт на русском языке в 1 (одном) экз.;</w:t>
      </w:r>
    </w:p>
    <w:p>
      <w:pPr>
        <w:pStyle w:val="Normal"/>
        <w:numPr>
          <w:ilvl w:val="0"/>
          <w:numId w:val="10"/>
        </w:numPr>
        <w:tabs>
          <w:tab w:val="clear" w:pos="708"/>
          <w:tab w:val="left" w:pos="1418" w:leader="none"/>
        </w:tabs>
        <w:ind w:left="0" w:firstLine="709"/>
        <w:jc w:val="both"/>
        <w:rPr>
          <w:sz w:val="24"/>
          <w:szCs w:val="24"/>
        </w:rPr>
      </w:pPr>
      <w:r>
        <w:rPr>
          <w:sz w:val="24"/>
          <w:szCs w:val="24"/>
        </w:rPr>
        <w:t>инструкция по эксплуатации на русском языке в 1 (одном) экз.;</w:t>
      </w:r>
    </w:p>
    <w:p>
      <w:pPr>
        <w:pStyle w:val="Normal"/>
        <w:numPr>
          <w:ilvl w:val="0"/>
          <w:numId w:val="10"/>
        </w:numPr>
        <w:tabs>
          <w:tab w:val="clear" w:pos="708"/>
          <w:tab w:val="left" w:pos="1418" w:leader="none"/>
        </w:tabs>
        <w:ind w:left="0" w:firstLine="709"/>
        <w:jc w:val="both"/>
        <w:rPr>
          <w:sz w:val="24"/>
          <w:szCs w:val="24"/>
        </w:rPr>
      </w:pPr>
      <w:r>
        <w:rPr>
          <w:sz w:val="24"/>
          <w:szCs w:val="24"/>
        </w:rPr>
        <w:t>упаковочный лист в 1 (одном) экз.;</w:t>
      </w:r>
    </w:p>
    <w:p>
      <w:pPr>
        <w:pStyle w:val="Normal"/>
        <w:numPr>
          <w:ilvl w:val="0"/>
          <w:numId w:val="9"/>
        </w:numPr>
        <w:tabs>
          <w:tab w:val="clear" w:pos="708"/>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9"/>
        </w:numPr>
        <w:tabs>
          <w:tab w:val="clear" w:pos="708"/>
          <w:tab w:val="left" w:pos="709" w:leader="none"/>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1 (одном) экз.;</w:t>
      </w:r>
    </w:p>
    <w:p>
      <w:pPr>
        <w:pStyle w:val="Normal"/>
        <w:numPr>
          <w:ilvl w:val="0"/>
          <w:numId w:val="9"/>
        </w:numPr>
        <w:shd w:val="clear" w:color="auto" w:fill="FFFFFF"/>
        <w:tabs>
          <w:tab w:val="clear" w:pos="708"/>
          <w:tab w:val="left" w:pos="1418" w:leader="none"/>
        </w:tabs>
        <w:ind w:left="0" w:firstLine="709"/>
        <w:jc w:val="both"/>
        <w:rPr>
          <w:sz w:val="24"/>
          <w:szCs w:val="24"/>
        </w:rPr>
      </w:pPr>
      <w:r>
        <w:rPr>
          <w:sz w:val="24"/>
          <w:szCs w:val="24"/>
        </w:rPr>
        <w:t>Накладная ТОРГ-12/УПД в 2 (двух) экз.</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r>
        <w:rPr>
          <w:bCs/>
          <w:sz w:val="24"/>
          <w:szCs w:val="24"/>
        </w:rPr>
        <w:t xml:space="preserve"> </w:t>
      </w:r>
      <w:bookmarkStart w:id="0" w:name="_Ref361408232"/>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 xml:space="preserve">Погрузка, доставка, разгрузка </w:t>
      </w:r>
      <w:r>
        <w:rPr>
          <w:sz w:val="24"/>
          <w:szCs w:val="24"/>
          <w:highlight w:val="lightGray"/>
        </w:rPr>
        <w:t xml:space="preserve">и перемещение Товара (в том числе </w:t>
        <w:br/>
        <w:t>по территории Покупателя)</w:t>
      </w:r>
      <w:r>
        <w:rPr>
          <w:rStyle w:val="FootnoteReference"/>
          <w:sz w:val="24"/>
          <w:szCs w:val="24"/>
          <w:highlight w:val="lightGray"/>
        </w:rPr>
        <w:footnoteReference w:id="3"/>
      </w:r>
      <w:r>
        <w:rPr>
          <w:sz w:val="24"/>
          <w:szCs w:val="24"/>
        </w:rPr>
        <w:t xml:space="preserve"> </w:t>
      </w:r>
      <w:r>
        <w:rPr>
          <w:bCs/>
          <w:sz w:val="24"/>
          <w:szCs w:val="24"/>
        </w:rPr>
        <w:t>осуществляется</w:t>
      </w:r>
      <w:r>
        <w:rPr>
          <w:sz w:val="24"/>
          <w:szCs w:val="24"/>
        </w:rPr>
        <w:t xml:space="preserve"> Поставщиком. Стоимость погрузки, доставки, разгрузки </w:t>
      </w:r>
      <w:r>
        <w:rPr>
          <w:sz w:val="24"/>
          <w:szCs w:val="24"/>
          <w:highlight w:val="lightGray"/>
        </w:rPr>
        <w:t>и перемещения Товара</w:t>
      </w:r>
      <w:r>
        <w:rPr>
          <w:sz w:val="24"/>
          <w:szCs w:val="24"/>
        </w:rPr>
        <w:t xml:space="preserve"> включена в стоимость Товара.</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bookmarkStart w:id="2" w:name="_Ref361396594"/>
      <w:r>
        <w:rPr>
          <w:sz w:val="24"/>
          <w:szCs w:val="24"/>
        </w:rPr>
        <w:t>Датой поставки Товара является дата подписания Сторонами Накладной ТОРГ-12/УПД.</w:t>
      </w:r>
      <w:bookmarkEnd w:id="2"/>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Pr>
          <w:sz w:val="24"/>
          <w:szCs w:val="24"/>
          <w:highlight w:val="lightGray"/>
        </w:rPr>
        <w:t>3 (трех)</w:t>
      </w:r>
      <w:r>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shd w:val="clear" w:color="auto" w:fill="FFFFFF"/>
        <w:tabs>
          <w:tab w:val="clear" w:pos="708"/>
          <w:tab w:val="left" w:pos="1418" w:leader="none"/>
        </w:tabs>
        <w:ind w:left="0" w:firstLine="709"/>
        <w:jc w:val="both"/>
        <w:rPr>
          <w:sz w:val="24"/>
          <w:szCs w:val="24"/>
        </w:rPr>
      </w:pPr>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0"/>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Приемка Товара со вскрытием тары и упаковки производится Покупателем в течение 10</w:t>
      </w:r>
      <w:r>
        <w:rPr>
          <w:sz w:val="24"/>
          <w:szCs w:val="24"/>
          <w:highlight w:val="lightGray"/>
        </w:rPr>
        <w:t xml:space="preserve"> (десяти)</w:t>
      </w:r>
      <w:r>
        <w:rPr>
          <w:sz w:val="24"/>
          <w:szCs w:val="24"/>
        </w:rPr>
        <w:t xml:space="preserve"> рабочих дней с даты подписания Покупателем транспортных документов. В случае отсутствия замечаний Покупатель подписывает Накладную ТОРГ-12/УПД.</w:t>
      </w:r>
    </w:p>
    <w:p>
      <w:pPr>
        <w:pStyle w:val="Normal"/>
        <w:numPr>
          <w:ilvl w:val="1"/>
          <w:numId w:val="2"/>
        </w:numPr>
        <w:shd w:val="clear" w:color="auto" w:fill="FFFFFF"/>
        <w:tabs>
          <w:tab w:val="clear" w:pos="708"/>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pPr>
        <w:pStyle w:val="Normal"/>
        <w:numPr>
          <w:ilvl w:val="1"/>
          <w:numId w:val="2"/>
        </w:numPr>
        <w:shd w:val="clear" w:color="auto" w:fill="FFFFFF"/>
        <w:tabs>
          <w:tab w:val="clear" w:pos="708"/>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3.9, 3.11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8"/>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b/>
          <w:bCs/>
          <w:color w:val="000000"/>
          <w:sz w:val="24"/>
          <w:szCs w:val="24"/>
        </w:rPr>
        <w:t xml:space="preserve">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ТОРГ-12/УПД.</w:t>
      </w:r>
    </w:p>
    <w:p>
      <w:pPr>
        <w:pStyle w:val="Normal"/>
        <w:shd w:val="clear" w:color="auto" w:fill="FFFFFF"/>
        <w:jc w:val="both"/>
        <w:rPr>
          <w:sz w:val="24"/>
          <w:szCs w:val="24"/>
        </w:rPr>
      </w:pPr>
      <w:r>
        <w:rPr>
          <w:sz w:val="24"/>
          <w:szCs w:val="24"/>
        </w:rPr>
      </w:r>
    </w:p>
    <w:p>
      <w:pPr>
        <w:pStyle w:val="ListParagraph"/>
        <w:numPr>
          <w:ilvl w:val="0"/>
          <w:numId w:val="2"/>
        </w:numPr>
        <w:shd w:val="clear" w:color="auto" w:fill="FFFFFF"/>
        <w:tabs>
          <w:tab w:val="clear" w:pos="708"/>
          <w:tab w:val="left" w:pos="284" w:leader="none"/>
        </w:tabs>
        <w:ind w:left="0" w:hanging="0"/>
        <w:jc w:val="center"/>
        <w:rPr>
          <w:b/>
          <w:sz w:val="24"/>
          <w:szCs w:val="24"/>
        </w:rPr>
      </w:pPr>
      <w:r>
        <w:rPr>
          <w:b/>
          <w:sz w:val="24"/>
          <w:szCs w:val="24"/>
        </w:rPr>
        <w:t>Гарантийный срок</w:t>
      </w:r>
    </w:p>
    <w:p>
      <w:pPr>
        <w:pStyle w:val="ListParagraph"/>
        <w:numPr>
          <w:ilvl w:val="1"/>
          <w:numId w:val="2"/>
        </w:numPr>
        <w:tabs>
          <w:tab w:val="clear" w:pos="708"/>
          <w:tab w:val="left" w:pos="709" w:leader="none"/>
          <w:tab w:val="left" w:pos="1134" w:leader="none"/>
        </w:tabs>
        <w:ind w:left="0" w:firstLine="709"/>
        <w:jc w:val="both"/>
        <w:rPr>
          <w:sz w:val="24"/>
          <w:szCs w:val="24"/>
        </w:rPr>
      </w:pPr>
      <w:r>
        <w:rPr>
          <w:sz w:val="24"/>
          <w:szCs w:val="24"/>
        </w:rPr>
        <w:t>Гарантийный срок на Товар, поставленный по Договору, составляет не менее 12 (Двенадцати) месяцев и начинает течь с даты подписания Сторонами Накладной ТОРГ-12/УПД.</w:t>
      </w:r>
      <w:r>
        <w:rPr/>
        <w:t xml:space="preserve"> </w:t>
      </w:r>
      <w:r>
        <w:rPr>
          <w:sz w:val="24"/>
          <w:szCs w:val="24"/>
        </w:rPr>
        <w:t xml:space="preserve">Гарантийный срок может быть продлен в соответствии с условиями Договора. </w:t>
      </w:r>
    </w:p>
    <w:p>
      <w:pPr>
        <w:pStyle w:val="ListParagraph"/>
        <w:tabs>
          <w:tab w:val="clear" w:pos="708"/>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6"/>
      <w:bookmarkStart w:id="4" w:name="OLE_LINK5"/>
      <w:r>
        <w:rPr>
          <w:sz w:val="24"/>
          <w:szCs w:val="24"/>
        </w:rPr>
        <w:t>Покупателем в соответствии с пунктом 4.3 Договора</w:t>
      </w:r>
      <w:bookmarkEnd w:id="3"/>
      <w:bookmarkEnd w:id="4"/>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ListParagraph"/>
        <w:numPr>
          <w:ilvl w:val="1"/>
          <w:numId w:val="8"/>
        </w:numPr>
        <w:shd w:val="clear" w:color="auto" w:fill="FFFFFF"/>
        <w:tabs>
          <w:tab w:val="clear" w:pos="708"/>
          <w:tab w:val="left" w:pos="1134" w:leader="none"/>
        </w:tabs>
        <w:suppressAutoHyphens w:val="false"/>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shd w:val="clear" w:color="auto" w:fill="FFFFFF"/>
        <w:tabs>
          <w:tab w:val="clear" w:pos="708"/>
          <w:tab w:val="left" w:pos="1134" w:leader="none"/>
        </w:tabs>
        <w:ind w:firstLine="709"/>
        <w:jc w:val="both"/>
        <w:rPr>
          <w:sz w:val="24"/>
          <w:szCs w:val="24"/>
        </w:rPr>
      </w:pPr>
      <w:r>
        <w:rPr>
          <w:sz w:val="24"/>
          <w:szCs w:val="24"/>
        </w:rPr>
        <w:t xml:space="preserve"> </w:t>
      </w:r>
    </w:p>
    <w:p>
      <w:pPr>
        <w:pStyle w:val="Normal"/>
        <w:numPr>
          <w:ilvl w:val="0"/>
          <w:numId w:val="2"/>
        </w:numPr>
        <w:shd w:val="clear" w:color="auto" w:fill="FFFFFF"/>
        <w:tabs>
          <w:tab w:val="clear" w:pos="708"/>
          <w:tab w:val="left" w:pos="284" w:leader="none"/>
        </w:tabs>
        <w:ind w:left="0" w:hanging="0"/>
        <w:jc w:val="center"/>
        <w:rPr>
          <w:b/>
          <w:bCs/>
          <w:sz w:val="24"/>
          <w:szCs w:val="24"/>
        </w:rPr>
      </w:pPr>
      <w:r>
        <w:rPr/>
        <w:t xml:space="preserve"> </w:t>
      </w:r>
      <w:r>
        <w:rPr>
          <w:b/>
          <w:bCs/>
          <w:sz w:val="24"/>
          <w:szCs w:val="24"/>
        </w:rPr>
        <w:t>Ответственность Сторон</w:t>
      </w:r>
    </w:p>
    <w:p>
      <w:pPr>
        <w:pStyle w:val="ListParagraph"/>
        <w:numPr>
          <w:ilvl w:val="1"/>
          <w:numId w:val="2"/>
        </w:numPr>
        <w:tabs>
          <w:tab w:val="clear" w:pos="708"/>
          <w:tab w:val="left" w:pos="1276"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shd w:val="clear" w:color="auto" w:fill="FFFFFF"/>
        <w:tabs>
          <w:tab w:val="clear" w:pos="708"/>
          <w:tab w:val="left" w:pos="1276" w:leader="none"/>
        </w:tabs>
        <w:ind w:left="0" w:firstLine="709"/>
        <w:jc w:val="both"/>
        <w:rPr>
          <w:bCs/>
          <w:sz w:val="24"/>
          <w:szCs w:val="24"/>
        </w:rPr>
      </w:pPr>
      <w:r>
        <w:rPr>
          <w:bCs/>
          <w:sz w:val="24"/>
          <w:szCs w:val="24"/>
        </w:rPr>
        <w:t>Покупатель не несет ответственности за ненадлежащее исполнение обязательств 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8"/>
          <w:tab w:val="left" w:pos="1276" w:leader="none"/>
        </w:tabs>
        <w:ind w:left="0" w:firstLine="709"/>
        <w:jc w:val="both"/>
        <w:rPr>
          <w:bCs/>
          <w:sz w:val="24"/>
          <w:szCs w:val="24"/>
        </w:rPr>
      </w:pPr>
      <w:r>
        <w:rPr>
          <w:bCs/>
          <w:sz w:val="24"/>
          <w:szCs w:val="24"/>
        </w:rPr>
        <w:t xml:space="preserve">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одна десятая) процента от несвоевременно оплаченной суммы за каждый день просрочки. </w:t>
      </w:r>
    </w:p>
    <w:p>
      <w:pPr>
        <w:pStyle w:val="Normal"/>
        <w:widowControl/>
        <w:numPr>
          <w:ilvl w:val="1"/>
          <w:numId w:val="2"/>
        </w:numPr>
        <w:tabs>
          <w:tab w:val="clear" w:pos="708"/>
          <w:tab w:val="left" w:pos="1276" w:leader="none"/>
        </w:tabs>
        <w:ind w:left="0" w:firstLine="709"/>
        <w:jc w:val="both"/>
        <w:rPr>
          <w:bCs/>
          <w:sz w:val="24"/>
          <w:szCs w:val="24"/>
        </w:rPr>
      </w:pPr>
      <w:r>
        <w:rPr>
          <w:bCs/>
          <w:sz w:val="24"/>
          <w:szCs w:val="24"/>
        </w:rPr>
        <w:t>В случае нарушения Поставщиком обязательств по поставке товара (нарушение срока поставки, недопоставка), а также в случае несвоевременного устранения выявленных недостатков Товара, Покупатель вправе потребовать уплаты Поставщиком:</w:t>
      </w:r>
    </w:p>
    <w:p>
      <w:pPr>
        <w:pStyle w:val="Normal"/>
        <w:widowControl/>
        <w:tabs>
          <w:tab w:val="clear" w:pos="708"/>
          <w:tab w:val="left" w:pos="1276" w:leader="none"/>
        </w:tabs>
        <w:ind w:firstLine="709"/>
        <w:jc w:val="both"/>
        <w:rPr>
          <w:bCs/>
          <w:sz w:val="24"/>
          <w:szCs w:val="24"/>
        </w:rPr>
      </w:pPr>
      <w:r>
        <w:rPr>
          <w:bCs/>
          <w:sz w:val="24"/>
          <w:szCs w:val="24"/>
        </w:rPr>
        <w:t>5.4.1. Неустойки в размере 0,1 (ноль целых и одна десятая) процента от Цены Договора за каждый день просрочки;</w:t>
      </w:r>
    </w:p>
    <w:p>
      <w:pPr>
        <w:pStyle w:val="Normal"/>
        <w:widowControl/>
        <w:tabs>
          <w:tab w:val="clear" w:pos="708"/>
          <w:tab w:val="left" w:pos="1276" w:leader="none"/>
        </w:tabs>
        <w:ind w:firstLine="709"/>
        <w:jc w:val="both"/>
        <w:rPr>
          <w:bCs/>
          <w:sz w:val="24"/>
          <w:szCs w:val="24"/>
        </w:rPr>
      </w:pPr>
      <w:r>
        <w:rPr>
          <w:bCs/>
          <w:sz w:val="24"/>
          <w:szCs w:val="24"/>
        </w:rPr>
        <w:t>5.4.2. Неустойки в размере 0,1 (ноль целых и одна десятая) процента от Цены Договора за каждый день просрочки – в случае несвоевременного устранения недостатков товара, влияющих на возможность эксплуатации (использования) Товара в целом;</w:t>
      </w:r>
    </w:p>
    <w:p>
      <w:pPr>
        <w:pStyle w:val="Normal"/>
        <w:widowControl/>
        <w:tabs>
          <w:tab w:val="clear" w:pos="708"/>
          <w:tab w:val="left" w:pos="1276" w:leader="none"/>
        </w:tabs>
        <w:ind w:firstLine="709"/>
        <w:jc w:val="both"/>
        <w:rPr>
          <w:bCs/>
          <w:sz w:val="24"/>
          <w:szCs w:val="24"/>
        </w:rPr>
      </w:pPr>
      <w:r>
        <w:rPr>
          <w:bCs/>
          <w:sz w:val="24"/>
          <w:szCs w:val="24"/>
        </w:rPr>
        <w:t>5.4.3. Неустойки в размере 0,1 (ноль целых и одна десятая) процента от стоимости Товара за каждый день просрочки – в случае несвоевременного устранения недостатков, не влияющих на возможность эксплуатации (использования) Товара в целом.</w:t>
      </w:r>
    </w:p>
    <w:p>
      <w:pPr>
        <w:pStyle w:val="ListParagraph"/>
        <w:widowControl/>
        <w:numPr>
          <w:ilvl w:val="1"/>
          <w:numId w:val="2"/>
        </w:numPr>
        <w:tabs>
          <w:tab w:val="clear" w:pos="708"/>
          <w:tab w:val="left" w:pos="1276" w:leader="none"/>
          <w:tab w:val="left" w:pos="1701" w:leader="none"/>
        </w:tabs>
        <w:ind w:left="0" w:firstLine="709"/>
        <w:jc w:val="both"/>
        <w:rPr>
          <w:sz w:val="24"/>
          <w:szCs w:val="24"/>
        </w:rPr>
      </w:pPr>
      <w:r>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sz w:val="24"/>
          <w:szCs w:val="24"/>
        </w:rPr>
        <w:t>.</w:t>
      </w:r>
    </w:p>
    <w:p>
      <w:pPr>
        <w:pStyle w:val="ListParagraph"/>
        <w:widowControl/>
        <w:numPr>
          <w:ilvl w:val="1"/>
          <w:numId w:val="2"/>
        </w:numPr>
        <w:tabs>
          <w:tab w:val="clear" w:pos="708"/>
          <w:tab w:val="left" w:pos="1276" w:leader="none"/>
          <w:tab w:val="left" w:pos="1701" w:leader="none"/>
        </w:tabs>
        <w:ind w:left="0" w:firstLine="709"/>
        <w:jc w:val="both"/>
        <w:rPr>
          <w:rFonts w:eastAsia="Calibri"/>
          <w:bCs/>
          <w:sz w:val="24"/>
          <w:szCs w:val="24"/>
        </w:rPr>
      </w:pPr>
      <w:r>
        <w:rPr>
          <w:rFonts w:eastAsia="Calibri"/>
          <w:bCs/>
          <w:sz w:val="24"/>
          <w:szCs w:val="24"/>
        </w:rPr>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pPr>
        <w:pStyle w:val="ListParagraph"/>
        <w:widowControl/>
        <w:numPr>
          <w:ilvl w:val="1"/>
          <w:numId w:val="2"/>
        </w:numPr>
        <w:shd w:val="clear" w:color="auto" w:fill="FFFFFF"/>
        <w:tabs>
          <w:tab w:val="clear" w:pos="708"/>
          <w:tab w:val="left" w:pos="1276" w:leader="none"/>
        </w:tabs>
        <w:ind w:left="0" w:firstLine="709"/>
        <w:jc w:val="both"/>
        <w:rPr>
          <w:bCs/>
          <w:sz w:val="24"/>
          <w:szCs w:val="24"/>
        </w:rPr>
      </w:pPr>
      <w:r>
        <w:rPr/>
        <w:t xml:space="preserve"> </w:t>
      </w:r>
      <w:r>
        <w:rPr>
          <w:bCs/>
          <w:sz w:val="24"/>
          <w:szCs w:val="24"/>
        </w:rPr>
        <w:t xml:space="preserve">Если в результате составления и выставления Поставщиком счетов-фактур/УПД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НДС, пеней и налоговых санкций, Поставщик обязан компенсировать Покупателю сумму таких расходов. </w:t>
      </w:r>
    </w:p>
    <w:p>
      <w:pPr>
        <w:pStyle w:val="ListParagraph"/>
        <w:widowControl/>
        <w:shd w:val="clear" w:color="auto" w:fill="FFFFFF"/>
        <w:tabs>
          <w:tab w:val="clear" w:pos="708"/>
          <w:tab w:val="left" w:pos="1276" w:leader="none"/>
        </w:tabs>
        <w:ind w:left="0" w:firstLine="709"/>
        <w:jc w:val="both"/>
        <w:rPr>
          <w:bCs/>
          <w:sz w:val="24"/>
          <w:szCs w:val="24"/>
        </w:rPr>
      </w:pPr>
      <w:r>
        <w:rPr>
          <w:bCs/>
          <w:sz w:val="24"/>
          <w:szCs w:val="24"/>
        </w:rPr>
        <w:t xml:space="preserve">Основанием для компенсации являются решения налоговых органов, вынесенные по итогам проведения мероприятий налогового контроля. </w:t>
      </w:r>
    </w:p>
    <w:p>
      <w:pPr>
        <w:pStyle w:val="ListParagraph"/>
        <w:widowControl/>
        <w:shd w:val="clear" w:color="auto" w:fill="FFFFFF"/>
        <w:tabs>
          <w:tab w:val="clear" w:pos="708"/>
          <w:tab w:val="left" w:pos="1276" w:leader="none"/>
        </w:tabs>
        <w:ind w:left="0" w:firstLine="709"/>
        <w:jc w:val="both"/>
        <w:rPr>
          <w:bCs/>
          <w:sz w:val="24"/>
          <w:szCs w:val="24"/>
        </w:rPr>
      </w:pPr>
      <w:r>
        <w:rPr>
          <w:bCs/>
          <w:sz w:val="24"/>
          <w:szCs w:val="24"/>
        </w:rPr>
        <w:t>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tabs>
          <w:tab w:val="clear" w:pos="708"/>
          <w:tab w:val="left" w:pos="1276" w:leader="none"/>
        </w:tabs>
        <w:ind w:left="0" w:firstLine="709"/>
        <w:jc w:val="both"/>
        <w:rPr>
          <w:bCs/>
          <w:sz w:val="24"/>
          <w:szCs w:val="24"/>
        </w:rPr>
      </w:pPr>
      <w:r>
        <w:rPr>
          <w:bCs/>
          <w:sz w:val="24"/>
          <w:szCs w:val="24"/>
        </w:rPr>
        <w:t>В случае нарушения Поставщиком сроков предоставления счетов-фактур/УПД,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Покупателем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Поставщиком своих обязательств.</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Кроме суммы реального ущерба, Поставщик компенсирует Покупателю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Размер упущенной выгоды (выручки) подтверждается (по выбору Покупателя):</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в ценовой зоне оптового рынка:</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xml:space="preserve">- расчетом, подготовленным Коммерческим оператором оптового рынка; </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и / или</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расчетом, подготовленным Покупателем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xml:space="preserve">- в отдельной территории ценовой зоны оптового рынка, ранее относившейся к неценовой зоне оптового рынка Дальнего Востока: </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до даты утверждения Наблюдательным советом Ассоциации «НП Совет рынка» методики определения в ценовых зонах ОРЭМ упущенной выручки от недопоставки электрической энергии и мощности на ОРЭМ – расчетом, подготовленным Покупателем на основании Методики (Приложение № 3 к Договору);</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после утверждения Наблюдательным советом Ассоциации «НП Совет рынка» методики определения в ценовых зонах ОРЭМ упущенной выручки от недопоставки электрической энергии и мощности на ОРЭМ:</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xml:space="preserve">расчетом, подготовленным Коммерческим оператором оптового рынка; </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и / или</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расчетом, подготовленным Покупателем на основании методики, утвержденной Наблюдательным советом Ассоциации «НП Совет рынка».</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В отношении вновь вводимого оборудования ГЭС / ГАЭС – объектов ДПМ, ДПМ ВИЭ в ценовых зонах ОРЭМ Поставщик дополнительно компенсирует Покупателю упущенную выгоду (выручку) в связи с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xml:space="preserve">В отношении вновь вводимого (модернизируемого) оборудования ТЭС в отдельной территории ценовой зоны оптового рынка, ранее относившейся к неценовой зоне оптового рынка Дальнего Востока Подрядчик дополнительно компенсирует Заказчику упущенную выгоду (выручку) в связи: </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5.7.1. С неоплатой мощности из-за просрочки исполнения обязательства по поставке мощности от модернизированного объекта.</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xml:space="preserve">Размер упущенной выгоды для каждого месяца просрочки определяется в соответствии с Правилами ОРЭМ. </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5.7.2. 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определенную в соответствии с решением Правительства Российской Федерации.</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pPr>
        <w:pStyle w:val="ListParagraph"/>
        <w:widowControl/>
        <w:shd w:val="clear" w:color="auto" w:fill="FFFFFF"/>
        <w:tabs>
          <w:tab w:val="clear" w:pos="708"/>
          <w:tab w:val="left" w:pos="1276" w:leader="none"/>
        </w:tabs>
        <w:ind w:left="0" w:firstLine="709"/>
        <w:jc w:val="both"/>
        <w:rPr>
          <w:bCs/>
          <w:sz w:val="24"/>
          <w:szCs w:val="24"/>
        </w:rPr>
      </w:pPr>
      <w:r>
        <w:rPr>
          <w:bCs/>
          <w:sz w:val="24"/>
          <w:szCs w:val="24"/>
          <w:highlight w:val="lightGray"/>
        </w:rPr>
        <w:t>5.7.3. 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отдельной территории ценовой зоны оптового рынка, ранее относившейся к неценовой зоне оптового рынка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для каждого месяца просрочки определяется в соответствии с Правилами ОРЭМ».</w:t>
      </w:r>
      <w:r>
        <w:rPr>
          <w:rStyle w:val="FootnoteReference"/>
          <w:bCs/>
          <w:sz w:val="24"/>
          <w:szCs w:val="24"/>
          <w:highlight w:val="lightGray"/>
        </w:rPr>
        <w:footnoteReference w:id="4"/>
      </w:r>
    </w:p>
    <w:p>
      <w:pPr>
        <w:pStyle w:val="ListParagraph"/>
        <w:widowControl/>
        <w:shd w:val="clear" w:color="auto" w:fill="FFFFFF"/>
        <w:tabs>
          <w:tab w:val="clear" w:pos="708"/>
          <w:tab w:val="left" w:pos="1276" w:leader="none"/>
        </w:tabs>
        <w:ind w:left="0" w:firstLine="709"/>
        <w:jc w:val="both"/>
        <w:rPr>
          <w:bCs/>
          <w:sz w:val="24"/>
          <w:szCs w:val="24"/>
        </w:rPr>
      </w:pPr>
      <w:r>
        <w:rPr>
          <w:bCs/>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оптового рынка Дальнего Востока изложена в Приложении № 3 к Договору.</w:t>
      </w:r>
    </w:p>
    <w:p>
      <w:pPr>
        <w:pStyle w:val="ListParagraph"/>
        <w:widowControl/>
        <w:numPr>
          <w:ilvl w:val="1"/>
          <w:numId w:val="2"/>
        </w:numPr>
        <w:shd w:val="clear" w:color="auto" w:fill="FFFFFF"/>
        <w:tabs>
          <w:tab w:val="clear" w:pos="708"/>
          <w:tab w:val="left" w:pos="1276" w:leader="none"/>
        </w:tabs>
        <w:ind w:left="0" w:firstLine="709"/>
        <w:jc w:val="both"/>
        <w:rPr>
          <w:bCs/>
          <w:sz w:val="24"/>
          <w:szCs w:val="24"/>
        </w:rPr>
      </w:pPr>
      <w:r>
        <w:rPr>
          <w:bCs/>
          <w:sz w:val="24"/>
          <w:szCs w:val="24"/>
        </w:rPr>
        <w:t xml:space="preserve">Поставщик несет ответственность перед Покупателем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shd w:val="clear" w:color="auto" w:fill="FFFFFF"/>
        <w:tabs>
          <w:tab w:val="clear" w:pos="708"/>
          <w:tab w:val="left" w:pos="1276" w:leader="none"/>
          <w:tab w:val="left" w:pos="1418"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color="auto" w:fill="FFFFFF"/>
        <w:tabs>
          <w:tab w:val="clear" w:pos="708"/>
          <w:tab w:val="left" w:pos="1276" w:leader="none"/>
          <w:tab w:val="left" w:pos="1418"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color="auto" w:fill="FFFFFF"/>
        <w:tabs>
          <w:tab w:val="clear" w:pos="708"/>
          <w:tab w:val="left" w:pos="1276" w:leader="none"/>
          <w:tab w:val="left" w:pos="1418"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color="auto" w:fill="FFFFFF"/>
        <w:tabs>
          <w:tab w:val="clear" w:pos="708"/>
          <w:tab w:val="left" w:pos="1276" w:leader="none"/>
          <w:tab w:val="left" w:pos="1418" w:leader="none"/>
        </w:tabs>
        <w:ind w:left="0" w:firstLine="709"/>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shd w:val="clear" w:color="auto" w:fill="FFFFFF"/>
        <w:jc w:val="both"/>
        <w:rPr>
          <w:sz w:val="24"/>
          <w:szCs w:val="24"/>
        </w:rPr>
      </w:pPr>
      <w:r>
        <w:rPr>
          <w:sz w:val="24"/>
          <w:szCs w:val="24"/>
        </w:rPr>
      </w:r>
    </w:p>
    <w:p>
      <w:pPr>
        <w:pStyle w:val="Normal"/>
        <w:shd w:val="clear" w:color="auto" w:fill="FFFFFF"/>
        <w:jc w:val="both"/>
        <w:rPr>
          <w:sz w:val="24"/>
          <w:szCs w:val="24"/>
        </w:rPr>
      </w:pPr>
      <w:r>
        <w:rPr>
          <w:sz w:val="24"/>
          <w:szCs w:val="24"/>
        </w:rPr>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8"/>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3"/>
        </w:numPr>
        <w:tabs>
          <w:tab w:val="clear" w:pos="708"/>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3"/>
        </w:numPr>
        <w:tabs>
          <w:tab w:val="clear" w:pos="708"/>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5"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5"/>
      <w:r>
        <w:rPr>
          <w:bCs/>
          <w:sz w:val="24"/>
          <w:szCs w:val="24"/>
        </w:rPr>
        <w:t xml:space="preserve">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bookmarkStart w:id="6"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6"/>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7"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7"/>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ListParagraph"/>
        <w:widowControl/>
        <w:shd w:val="clear" w:color="auto" w:fill="FFFFFF"/>
        <w:tabs>
          <w:tab w:val="clear" w:pos="708"/>
          <w:tab w:val="left" w:pos="1134"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Споры, указанные в пункте 7.1 Договора, которые не были урегулированы Сторонами путем переговоров, подлежат разрешению в Арбитражном суде </w:t>
      </w:r>
      <w:r>
        <w:rPr>
          <w:bCs/>
          <w:sz w:val="24"/>
          <w:szCs w:val="24"/>
          <w:highlight w:val="lightGray"/>
        </w:rPr>
        <w:t>Самарской области</w:t>
      </w:r>
      <w:r>
        <w:rPr>
          <w:bCs/>
          <w:sz w:val="24"/>
          <w:szCs w:val="24"/>
        </w:rPr>
        <w:t xml:space="preserve"> в соответствии с законодательством Российской Федерации.</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13.8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 </w:t>
      </w:r>
      <w:r>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  </w:t>
      </w: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 </w:t>
      </w: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 </w:t>
      </w: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 </w:t>
      </w:r>
      <w:r>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 </w:t>
      </w:r>
      <w:r>
        <w:rPr>
          <w:color w:val="000000"/>
          <w:sz w:val="24"/>
          <w:szCs w:val="24"/>
        </w:rPr>
        <w:t xml:space="preserve">Каналы связи Линия доверия Группы РусГидро: </w:t>
      </w:r>
    </w:p>
    <w:p>
      <w:pPr>
        <w:pStyle w:val="ListParagraph"/>
        <w:shd w:val="clear" w:color="auto" w:fill="FFFFFF"/>
        <w:tabs>
          <w:tab w:val="clear" w:pos="708"/>
          <w:tab w:val="left" w:pos="1134" w:leader="none"/>
        </w:tabs>
        <w:ind w:left="0" w:hanging="0"/>
        <w:jc w:val="both"/>
        <w:rPr>
          <w:bCs/>
          <w:color w:val="000000"/>
          <w:sz w:val="24"/>
          <w:szCs w:val="24"/>
        </w:rPr>
      </w:pPr>
      <w:r>
        <w:rPr>
          <w:color w:val="000000"/>
          <w:sz w:val="24"/>
          <w:szCs w:val="24"/>
        </w:rPr>
        <w:t xml:space="preserve">            </w:t>
      </w:r>
      <w:r>
        <w:rPr>
          <w:color w:val="000000"/>
          <w:sz w:val="24"/>
          <w:szCs w:val="24"/>
        </w:rPr>
        <w:t xml:space="preserve">8.7.1. </w:t>
      </w:r>
      <w:r>
        <w:rPr>
          <w:sz w:val="24"/>
          <w:szCs w:val="24"/>
        </w:rPr>
        <w:t xml:space="preserve">Электронная почта: </w:t>
      </w:r>
      <w:hyperlink r:id="rId2">
        <w:r>
          <w:rPr>
            <w:rStyle w:val="Hyperlink"/>
            <w:sz w:val="24"/>
            <w:szCs w:val="24"/>
          </w:rPr>
          <w:t>ld@rushydro.ru</w:t>
        </w:r>
      </w:hyperlink>
      <w:r>
        <w:rPr>
          <w:sz w:val="24"/>
          <w:szCs w:val="24"/>
        </w:rPr>
        <w:t>.</w:t>
      </w:r>
    </w:p>
    <w:p>
      <w:pPr>
        <w:pStyle w:val="ListParagraph"/>
        <w:shd w:val="clear" w:color="auto" w:fill="FFFFFF"/>
        <w:tabs>
          <w:tab w:val="clear" w:pos="708"/>
          <w:tab w:val="left" w:pos="1134" w:leader="none"/>
        </w:tabs>
        <w:ind w:left="0" w:firstLine="709"/>
        <w:jc w:val="both"/>
        <w:rPr>
          <w:bCs/>
          <w:color w:val="000000"/>
          <w:sz w:val="24"/>
          <w:szCs w:val="24"/>
        </w:rPr>
      </w:pPr>
      <w:r>
        <w:rPr>
          <w:sz w:val="24"/>
          <w:szCs w:val="24"/>
        </w:rPr>
        <w:t>8.7.2.   Специальная форма «обратной связи», размещенная на официальном сайте ПАО "РусГидро"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8"/>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2"/>
        </w:numPr>
        <w:shd w:val="clear" w:color="auto" w:fill="FFFFFF"/>
        <w:tabs>
          <w:tab w:val="clear" w:pos="708"/>
          <w:tab w:val="left" w:pos="426" w:leader="none"/>
        </w:tabs>
        <w:spacing w:lineRule="auto" w:line="259"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3">
        <w:r>
          <w:rPr>
            <w:bCs/>
            <w:sz w:val="24"/>
            <w:szCs w:val="24"/>
          </w:rPr>
          <w:t>№ 18162/09</w:t>
        </w:r>
      </w:hyperlink>
      <w:r>
        <w:rPr>
          <w:bCs/>
          <w:sz w:val="24"/>
          <w:szCs w:val="24"/>
        </w:rPr>
        <w:t xml:space="preserve"> и от 25.05.2010 </w:t>
      </w:r>
      <w:hyperlink r:id="rId4">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5">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5"/>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5"/>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5"/>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5"/>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5"/>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7"/>
        </w:numPr>
        <w:shd w:val="clear" w:color="auto" w:fill="FFFFFF"/>
        <w:tabs>
          <w:tab w:val="clear" w:pos="708"/>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7"/>
        </w:numPr>
        <w:shd w:val="clear" w:color="auto" w:fill="FFFFFF"/>
        <w:tabs>
          <w:tab w:val="clear" w:pos="708"/>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7"/>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7"/>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6"/>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6"/>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6"/>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6"/>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8"/>
          <w:tab w:val="left" w:pos="1134" w:leader="none"/>
          <w:tab w:val="left" w:pos="1418"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8"/>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4"/>
        </w:numPr>
        <w:tabs>
          <w:tab w:val="clear" w:pos="708"/>
          <w:tab w:val="left" w:pos="0" w:leader="none"/>
          <w:tab w:val="left" w:pos="1418" w:leader="none"/>
        </w:tabs>
        <w:ind w:left="0" w:right="23"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4"/>
        </w:numPr>
        <w:tabs>
          <w:tab w:val="clear" w:pos="708"/>
          <w:tab w:val="left" w:pos="0" w:leader="none"/>
          <w:tab w:val="left" w:pos="1418" w:leader="none"/>
        </w:tabs>
        <w:ind w:left="0" w:right="23"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4"/>
        </w:numPr>
        <w:tabs>
          <w:tab w:val="clear" w:pos="708"/>
          <w:tab w:val="left" w:pos="0" w:leader="none"/>
          <w:tab w:val="left" w:pos="1418" w:leader="none"/>
        </w:tabs>
        <w:ind w:left="0" w:right="23"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4"/>
        </w:numPr>
        <w:tabs>
          <w:tab w:val="clear" w:pos="708"/>
          <w:tab w:val="left" w:pos="0" w:leader="none"/>
          <w:tab w:val="left" w:pos="1418" w:leader="none"/>
        </w:tabs>
        <w:ind w:left="0" w:right="23" w:firstLine="709"/>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4"/>
        </w:numPr>
        <w:tabs>
          <w:tab w:val="clear" w:pos="708"/>
          <w:tab w:val="left" w:pos="0" w:leader="none"/>
          <w:tab w:val="left" w:pos="1418" w:leader="none"/>
        </w:tabs>
        <w:ind w:left="0" w:right="23"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8"/>
          <w:tab w:val="left" w:pos="0" w:leader="none"/>
        </w:tabs>
        <w:ind w:left="709" w:hanging="0"/>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shd w:val="clear" w:color="auto" w:fill="FFFFFF"/>
        <w:tabs>
          <w:tab w:val="clear" w:pos="708"/>
          <w:tab w:val="left" w:pos="142"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r>
        <w:rPr>
          <w:sz w:val="24"/>
          <w:szCs w:val="24"/>
          <w:highlight w:val="lightGray"/>
        </w:rPr>
        <w:t xml:space="preserve">В соответствии с пунктом 2 статьи 425 ГК РФ, условия Договора применяются к отношениям Сторон, возникшим </w:t>
        <w:br/>
        <w:t xml:space="preserve">с </w:t>
      </w:r>
      <w:r>
        <w:rPr>
          <w:sz w:val="24"/>
          <w:szCs w:val="24"/>
        </w:rPr>
        <w:t>даты подписания Договора.</w:t>
      </w:r>
    </w:p>
    <w:p>
      <w:pPr>
        <w:pStyle w:val="Normal"/>
        <w:widowControl/>
        <w:numPr>
          <w:ilvl w:val="1"/>
          <w:numId w:val="2"/>
        </w:numPr>
        <w:tabs>
          <w:tab w:val="clear" w:pos="708"/>
          <w:tab w:val="left" w:pos="142" w:leader="none"/>
          <w:tab w:val="left" w:pos="709" w:leader="none"/>
        </w:tabs>
        <w:snapToGrid w:val="false"/>
        <w:ind w:left="0" w:firstLine="709"/>
        <w:jc w:val="both"/>
        <w:rPr>
          <w:sz w:val="24"/>
          <w:szCs w:val="24"/>
          <w:highlight w:val="lightGray"/>
          <w:lang w:eastAsia="en-US"/>
        </w:rPr>
      </w:pPr>
      <w:r>
        <w:rPr>
          <w:sz w:val="24"/>
          <w:szCs w:val="24"/>
          <w:highlight w:val="lightGray"/>
          <w:lang w:eastAsia="en-US"/>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8"/>
          <w:tab w:val="left" w:pos="142" w:leader="none"/>
        </w:tabs>
        <w:ind w:firstLine="709"/>
        <w:jc w:val="both"/>
        <w:rPr>
          <w:sz w:val="24"/>
          <w:szCs w:val="24"/>
          <w:highlight w:val="lightGray"/>
          <w:lang w:eastAsia="en-US"/>
        </w:rPr>
      </w:pPr>
      <w:r>
        <w:rPr>
          <w:sz w:val="24"/>
          <w:szCs w:val="24"/>
          <w:highlight w:val="lightGray"/>
          <w:lang w:eastAsia="en-US"/>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r>
        <w:rPr>
          <w:sz w:val="24"/>
          <w:szCs w:val="24"/>
          <w:highlight w:val="lightGray"/>
        </w:rPr>
        <w:t>13.7</w:t>
      </w:r>
      <w:r>
        <w:rPr>
          <w:sz w:val="24"/>
          <w:szCs w:val="24"/>
        </w:rPr>
        <w:t xml:space="preserve">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 xml:space="preserve">в письменной форме в порядке, предусмотренном пунктом </w:t>
      </w:r>
      <w:r>
        <w:rPr>
          <w:sz w:val="24"/>
          <w:szCs w:val="24"/>
          <w:highlight w:val="lightGray"/>
        </w:rPr>
        <w:t>13.8</w:t>
      </w:r>
      <w:r>
        <w:rPr>
          <w:sz w:val="24"/>
          <w:szCs w:val="24"/>
        </w:rPr>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bookmarkStart w:id="8" w:name="_Ref361338004"/>
      <w:r>
        <w:rPr>
          <w:sz w:val="24"/>
          <w:szCs w:val="24"/>
        </w:rPr>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w:t>
      </w:r>
      <w:r>
        <w:rPr>
          <w:sz w:val="24"/>
          <w:szCs w:val="24"/>
          <w:highlight w:val="lightGray"/>
        </w:rPr>
        <w:t>13.8</w:t>
      </w:r>
      <w:r>
        <w:rPr>
          <w:sz w:val="24"/>
          <w:szCs w:val="24"/>
        </w:rPr>
        <w:t xml:space="preserve"> Договора.</w:t>
      </w:r>
      <w:bookmarkEnd w:id="8"/>
      <w:r>
        <w:rPr>
          <w:sz w:val="24"/>
          <w:szCs w:val="24"/>
        </w:rPr>
        <w:t xml:space="preserve"> </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sz w:val="24"/>
          <w:szCs w:val="24"/>
          <w:highlight w:val="lightGray"/>
        </w:rPr>
        <w:t>13.8.1 – 13.8.2</w:t>
      </w:r>
      <w:r>
        <w:rPr>
          <w:bCs/>
          <w:sz w:val="24"/>
          <w:szCs w:val="24"/>
        </w:rPr>
        <w:t xml:space="preserve"> Договора. </w:t>
      </w:r>
    </w:p>
    <w:p>
      <w:pPr>
        <w:pStyle w:val="Normal"/>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 xml:space="preserve">Уступка (передача), в том числе в залог, прав (требований) к Покупателю </w:t>
        <w:br/>
        <w:t xml:space="preserve">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трехсторонним договором. </w:t>
      </w:r>
    </w:p>
    <w:p>
      <w:pPr>
        <w:pStyle w:val="ListParagraph"/>
        <w:widowControl/>
        <w:shd w:val="clear" w:color="auto" w:fill="FFFFFF"/>
        <w:tabs>
          <w:tab w:val="clear" w:pos="708"/>
          <w:tab w:val="left" w:pos="0" w:leader="none"/>
          <w:tab w:val="left" w:pos="1418" w:leader="none"/>
        </w:tabs>
        <w:ind w:left="0" w:firstLine="709"/>
        <w:jc w:val="both"/>
        <w:rPr>
          <w:bCs/>
          <w:sz w:val="24"/>
          <w:szCs w:val="24"/>
        </w:rPr>
      </w:pPr>
      <w:r>
        <w:rPr>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Покупателя</w:t>
      </w:r>
      <w:r>
        <w:rPr>
          <w:bCs/>
          <w:sz w:val="24"/>
          <w:szCs w:val="24"/>
        </w:rPr>
        <w:t>.</w:t>
      </w:r>
      <w:r>
        <w:rPr>
          <w:sz w:val="24"/>
          <w:szCs w:val="24"/>
        </w:rPr>
        <w:t xml:space="preserve">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ind w:firstLine="567"/>
        <w:jc w:val="both"/>
        <w:rPr>
          <w:sz w:val="24"/>
          <w:szCs w:val="24"/>
        </w:rPr>
      </w:pPr>
      <w:r>
        <w:rPr>
          <w:sz w:val="24"/>
          <w:szCs w:val="24"/>
        </w:rPr>
      </w:r>
    </w:p>
    <w:p>
      <w:pPr>
        <w:pStyle w:val="Normal"/>
        <w:widowControl/>
        <w:numPr>
          <w:ilvl w:val="0"/>
          <w:numId w:val="2"/>
        </w:numPr>
        <w:shd w:val="clear" w:color="auto" w:fill="FFFFFF"/>
        <w:tabs>
          <w:tab w:val="clear" w:pos="708"/>
          <w:tab w:val="left" w:pos="284" w:leader="none"/>
        </w:tabs>
        <w:spacing w:lineRule="auto" w:line="259" w:before="0" w:after="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8"/>
          <w:tab w:val="left" w:pos="0" w:leader="none"/>
        </w:tabs>
        <w:ind w:firstLine="709"/>
        <w:jc w:val="both"/>
        <w:rPr>
          <w:rFonts w:eastAsia="Calibri"/>
          <w:sz w:val="24"/>
          <w:szCs w:val="24"/>
          <w:lang w:eastAsia="en-US"/>
        </w:rPr>
      </w:pPr>
      <w:bookmarkStart w:id="9" w:name="sub_1"/>
      <w:bookmarkEnd w:id="9"/>
      <w:r>
        <w:rPr>
          <w:rFonts w:eastAsia="Calibri"/>
          <w:sz w:val="24"/>
          <w:szCs w:val="24"/>
          <w:lang w:eastAsia="en-US"/>
        </w:rPr>
        <w:t>Приложение № 1 – Спецификация.</w:t>
      </w:r>
    </w:p>
    <w:p>
      <w:pPr>
        <w:pStyle w:val="Normal"/>
        <w:widowControl/>
        <w:shd w:val="clear" w:color="auto" w:fill="FFFFFF"/>
        <w:tabs>
          <w:tab w:val="clear" w:pos="708"/>
          <w:tab w:val="left" w:pos="0" w:leader="none"/>
        </w:tabs>
        <w:ind w:firstLine="709"/>
        <w:jc w:val="both"/>
        <w:rPr>
          <w:rFonts w:eastAsia="Calibri"/>
          <w:sz w:val="24"/>
          <w:szCs w:val="24"/>
          <w:lang w:eastAsia="en-US"/>
        </w:rPr>
      </w:pPr>
      <w:r>
        <w:rPr>
          <w:rFonts w:eastAsia="Calibri"/>
          <w:sz w:val="24"/>
          <w:szCs w:val="24"/>
          <w:lang w:eastAsia="en-US"/>
        </w:rPr>
        <w:t>Приложение № 2 - Технические требования.</w:t>
      </w:r>
    </w:p>
    <w:p>
      <w:pPr>
        <w:pStyle w:val="Normal"/>
        <w:widowControl/>
        <w:shd w:val="clear" w:color="auto" w:fill="FFFFFF"/>
        <w:tabs>
          <w:tab w:val="clear" w:pos="708"/>
          <w:tab w:val="left" w:pos="0" w:leader="none"/>
        </w:tabs>
        <w:ind w:firstLine="709"/>
        <w:jc w:val="both"/>
        <w:rPr>
          <w:rFonts w:eastAsia="Calibri"/>
          <w:sz w:val="24"/>
          <w:szCs w:val="24"/>
          <w:lang w:eastAsia="en-US"/>
        </w:rPr>
      </w:pPr>
      <w:r>
        <w:rPr>
          <w:rFonts w:eastAsia="Calibri"/>
          <w:sz w:val="24"/>
          <w:szCs w:val="24"/>
          <w:lang w:eastAsia="en-US"/>
        </w:rPr>
        <w:t>Приложение № 3 – Методика расчета упущенной выгоды (выручки)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оптового рынка Дальнего Востока.</w:t>
      </w:r>
    </w:p>
    <w:p>
      <w:pPr>
        <w:pStyle w:val="Normal"/>
        <w:widowControl/>
        <w:shd w:val="clear" w:color="auto" w:fill="FFFFFF"/>
        <w:tabs>
          <w:tab w:val="clear" w:pos="708"/>
          <w:tab w:val="left" w:pos="0" w:leader="none"/>
          <w:tab w:val="left" w:pos="2694" w:leader="none"/>
        </w:tabs>
        <w:ind w:firstLine="709"/>
        <w:jc w:val="both"/>
        <w:rPr>
          <w:rFonts w:eastAsia="Calibri"/>
          <w:sz w:val="24"/>
          <w:szCs w:val="24"/>
          <w:lang w:eastAsia="en-US"/>
        </w:rPr>
      </w:pPr>
      <w:r>
        <w:rPr>
          <w:rFonts w:eastAsia="Calibri"/>
          <w:sz w:val="24"/>
          <w:szCs w:val="24"/>
          <w:lang w:eastAsia="en-US"/>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bookmarkStart w:id="10" w:name="sub_1_Копия_1"/>
      <w:bookmarkEnd w:id="10"/>
      <w:r>
        <w:rPr>
          <w:b/>
          <w:bCs/>
          <w:sz w:val="24"/>
          <w:szCs w:val="24"/>
        </w:rPr>
        <w:t>Адреса и платежные реквизиты Сторон</w:t>
      </w:r>
    </w:p>
    <w:p>
      <w:pPr>
        <w:pStyle w:val="ListParagraph"/>
        <w:widowControl/>
        <w:shd w:val="clear" w:color="auto" w:fill="FFFFFF"/>
        <w:tabs>
          <w:tab w:val="clear" w:pos="708"/>
          <w:tab w:val="left" w:pos="426" w:leader="none"/>
        </w:tabs>
        <w:ind w:left="360" w:hanging="0"/>
        <w:rPr>
          <w:b/>
          <w:bCs/>
          <w:sz w:val="24"/>
          <w:szCs w:val="24"/>
        </w:rPr>
      </w:pPr>
      <w:r>
        <w:rPr>
          <w:b/>
          <w:bCs/>
          <w:sz w:val="24"/>
          <w:szCs w:val="24"/>
        </w:rPr>
      </w:r>
    </w:p>
    <w:tbl>
      <w:tblPr>
        <w:tblW w:w="9890"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5100"/>
        <w:gridCol w:w="4789"/>
      </w:tblGrid>
      <w:tr>
        <w:trPr/>
        <w:tc>
          <w:tcPr>
            <w:tcW w:w="5100" w:type="dxa"/>
            <w:tcBorders>
              <w:top w:val="single" w:sz="4" w:space="0" w:color="000000"/>
              <w:left w:val="single" w:sz="4" w:space="0" w:color="000000"/>
              <w:bottom w:val="single" w:sz="6" w:space="0" w:color="000000"/>
              <w:right w:val="single" w:sz="6" w:space="0" w:color="000000"/>
            </w:tcBorders>
            <w:shd w:color="auto" w:fill="auto" w:val="clear"/>
          </w:tcPr>
          <w:p>
            <w:pPr>
              <w:pStyle w:val="Normal"/>
              <w:widowControl w:val="false"/>
              <w:rPr>
                <w:sz w:val="23"/>
                <w:szCs w:val="23"/>
              </w:rPr>
            </w:pPr>
            <w:r>
              <w:rPr>
                <w:sz w:val="23"/>
                <w:szCs w:val="23"/>
              </w:rPr>
              <w:t>ПОКУПАТЕЛЬ:</w:t>
            </w:r>
          </w:p>
        </w:tc>
        <w:tc>
          <w:tcPr>
            <w:tcW w:w="4789" w:type="dxa"/>
            <w:tcBorders>
              <w:top w:val="single" w:sz="4" w:space="0" w:color="000000"/>
              <w:left w:val="single" w:sz="6" w:space="0" w:color="000000"/>
              <w:bottom w:val="single" w:sz="6" w:space="0" w:color="000000"/>
              <w:right w:val="single" w:sz="4" w:space="0" w:color="000000"/>
            </w:tcBorders>
            <w:shd w:color="auto" w:fill="auto" w:val="clear"/>
          </w:tcPr>
          <w:p>
            <w:pPr>
              <w:pStyle w:val="Normal"/>
              <w:widowControl w:val="false"/>
              <w:rPr>
                <w:sz w:val="23"/>
                <w:szCs w:val="23"/>
              </w:rPr>
            </w:pPr>
            <w:r>
              <w:rPr>
                <w:sz w:val="23"/>
                <w:szCs w:val="23"/>
              </w:rPr>
              <w:t>ПОСТАВЩИК:</w:t>
            </w:r>
          </w:p>
        </w:tc>
      </w:tr>
      <w:tr>
        <w:trPr/>
        <w:tc>
          <w:tcPr>
            <w:tcW w:w="5100" w:type="dxa"/>
            <w:tcBorders>
              <w:top w:val="single" w:sz="6" w:space="0" w:color="000000"/>
              <w:left w:val="single" w:sz="4" w:space="0" w:color="000000"/>
              <w:bottom w:val="single" w:sz="6" w:space="0" w:color="000000"/>
              <w:right w:val="single" w:sz="6" w:space="0" w:color="000000"/>
            </w:tcBorders>
            <w:shd w:color="auto" w:fill="auto" w:val="clear"/>
          </w:tcPr>
          <w:p>
            <w:pPr>
              <w:pStyle w:val="Normal"/>
              <w:widowControl w:val="false"/>
              <w:rPr>
                <w:b/>
                <w:sz w:val="23"/>
                <w:szCs w:val="23"/>
              </w:rPr>
            </w:pPr>
            <w:r>
              <w:rPr>
                <w:b/>
                <w:sz w:val="23"/>
                <w:szCs w:val="23"/>
              </w:rPr>
              <w:t>Публичное акционерное общество</w:t>
            </w:r>
          </w:p>
          <w:p>
            <w:pPr>
              <w:pStyle w:val="Normal"/>
              <w:widowControl w:val="false"/>
              <w:rPr>
                <w:b/>
                <w:sz w:val="23"/>
                <w:szCs w:val="23"/>
              </w:rPr>
            </w:pPr>
            <w:r>
              <w:rPr>
                <w:b/>
                <w:sz w:val="23"/>
                <w:szCs w:val="23"/>
              </w:rPr>
              <w:t>«Федеральная гидрогенерирующая компания - РусГидро» (ПАО «РусГидро»)</w:t>
            </w:r>
          </w:p>
          <w:p>
            <w:pPr>
              <w:pStyle w:val="Normal"/>
              <w:widowControl w:val="false"/>
              <w:rPr>
                <w:sz w:val="23"/>
                <w:szCs w:val="23"/>
              </w:rPr>
            </w:pPr>
            <w:r>
              <w:rPr>
                <w:sz w:val="23"/>
                <w:szCs w:val="23"/>
              </w:rPr>
              <w:t>Место нахождения: г. Красноярск, ул. Перенсона, зд. 2а, пом. 1</w:t>
            </w:r>
          </w:p>
          <w:p>
            <w:pPr>
              <w:pStyle w:val="Normal"/>
              <w:widowControl w:val="false"/>
              <w:rPr>
                <w:sz w:val="23"/>
                <w:szCs w:val="23"/>
              </w:rPr>
            </w:pPr>
            <w:r>
              <w:rPr>
                <w:sz w:val="23"/>
                <w:szCs w:val="23"/>
              </w:rPr>
              <w:t>Почтовый адрес: 660049, Красноярск, улица Перенсона, 2А</w:t>
            </w:r>
          </w:p>
          <w:p>
            <w:pPr>
              <w:pStyle w:val="Normal"/>
              <w:widowControl w:val="false"/>
              <w:rPr>
                <w:sz w:val="23"/>
                <w:szCs w:val="23"/>
              </w:rPr>
            </w:pPr>
            <w:r>
              <w:rPr>
                <w:sz w:val="23"/>
                <w:szCs w:val="23"/>
              </w:rPr>
              <w:t>Грузополучатель/Плательщик</w:t>
            </w:r>
          </w:p>
          <w:p>
            <w:pPr>
              <w:pStyle w:val="Normal"/>
              <w:widowControl w:val="false"/>
              <w:rPr>
                <w:sz w:val="23"/>
                <w:szCs w:val="23"/>
              </w:rPr>
            </w:pPr>
            <w:r>
              <w:rPr>
                <w:sz w:val="23"/>
                <w:szCs w:val="23"/>
              </w:rPr>
              <w:t>Филиал ПАО «РусГидро» - «Жигулевская ГЭС»</w:t>
            </w:r>
          </w:p>
          <w:p>
            <w:pPr>
              <w:pStyle w:val="Normal"/>
              <w:widowControl w:val="false"/>
              <w:rPr>
                <w:sz w:val="23"/>
                <w:szCs w:val="23"/>
              </w:rPr>
            </w:pPr>
            <w:r>
              <w:rPr>
                <w:sz w:val="23"/>
                <w:szCs w:val="23"/>
              </w:rPr>
              <w:t xml:space="preserve">ОГРН 1042401810494, </w:t>
            </w:r>
          </w:p>
          <w:p>
            <w:pPr>
              <w:pStyle w:val="Normal"/>
              <w:widowControl w:val="false"/>
              <w:rPr>
                <w:sz w:val="23"/>
                <w:szCs w:val="23"/>
              </w:rPr>
            </w:pPr>
            <w:r>
              <w:rPr>
                <w:sz w:val="23"/>
                <w:szCs w:val="23"/>
              </w:rPr>
              <w:t>ИНН 2460066195 / КПП 634502001</w:t>
            </w:r>
          </w:p>
          <w:p>
            <w:pPr>
              <w:pStyle w:val="Normal"/>
              <w:widowControl w:val="false"/>
              <w:rPr>
                <w:sz w:val="23"/>
                <w:szCs w:val="23"/>
              </w:rPr>
            </w:pPr>
            <w:r>
              <w:rPr>
                <w:sz w:val="23"/>
                <w:szCs w:val="23"/>
              </w:rPr>
              <w:t>Р/с 40702810054040002491 в Поволжском банке ПАО Сбербанк г. Самара</w:t>
            </w:r>
          </w:p>
          <w:p>
            <w:pPr>
              <w:pStyle w:val="Normal"/>
              <w:widowControl w:val="false"/>
              <w:rPr>
                <w:sz w:val="23"/>
                <w:szCs w:val="23"/>
              </w:rPr>
            </w:pPr>
            <w:r>
              <w:rPr>
                <w:sz w:val="23"/>
                <w:szCs w:val="23"/>
              </w:rPr>
              <w:t>К/с 30101810200000000607</w:t>
            </w:r>
          </w:p>
          <w:p>
            <w:pPr>
              <w:pStyle w:val="Normal"/>
              <w:widowControl w:val="false"/>
              <w:rPr>
                <w:sz w:val="23"/>
                <w:szCs w:val="23"/>
              </w:rPr>
            </w:pPr>
            <w:r>
              <w:rPr>
                <w:sz w:val="23"/>
                <w:szCs w:val="23"/>
              </w:rPr>
              <w:t>БИК 043601607</w:t>
            </w:r>
          </w:p>
          <w:p>
            <w:pPr>
              <w:pStyle w:val="Normal"/>
              <w:widowControl w:val="false"/>
              <w:rPr>
                <w:sz w:val="23"/>
                <w:szCs w:val="23"/>
              </w:rPr>
            </w:pPr>
            <w:r>
              <w:rPr>
                <w:sz w:val="23"/>
                <w:szCs w:val="23"/>
              </w:rPr>
              <w:t>Тел.: (84862) 75-359</w:t>
            </w:r>
          </w:p>
          <w:p>
            <w:pPr>
              <w:pStyle w:val="Normal"/>
              <w:widowControl w:val="false"/>
              <w:rPr>
                <w:sz w:val="23"/>
                <w:szCs w:val="23"/>
              </w:rPr>
            </w:pPr>
            <w:r>
              <w:rPr>
                <w:sz w:val="23"/>
                <w:szCs w:val="23"/>
              </w:rPr>
              <w:t>Факс: (84862) 21-587</w:t>
            </w:r>
          </w:p>
          <w:p>
            <w:pPr>
              <w:pStyle w:val="Normal"/>
              <w:widowControl w:val="false"/>
              <w:rPr>
                <w:sz w:val="23"/>
                <w:szCs w:val="23"/>
              </w:rPr>
            </w:pPr>
            <w:r>
              <w:rPr>
                <w:sz w:val="23"/>
                <w:szCs w:val="23"/>
              </w:rPr>
            </w:r>
          </w:p>
        </w:tc>
        <w:tc>
          <w:tcPr>
            <w:tcW w:w="4789" w:type="dxa"/>
            <w:tcBorders>
              <w:top w:val="single" w:sz="6" w:space="0" w:color="000000"/>
              <w:left w:val="single" w:sz="6" w:space="0" w:color="000000"/>
              <w:bottom w:val="single" w:sz="6" w:space="0" w:color="000000"/>
              <w:right w:val="single" w:sz="4" w:space="0" w:color="000000"/>
            </w:tcBorders>
            <w:shd w:color="auto" w:fill="auto" w:val="clear"/>
          </w:tcPr>
          <w:p>
            <w:pPr>
              <w:pStyle w:val="Normal"/>
              <w:widowControl w:val="false"/>
              <w:rPr>
                <w:sz w:val="23"/>
                <w:szCs w:val="23"/>
              </w:rPr>
            </w:pPr>
            <w:r>
              <w:rPr>
                <w:sz w:val="23"/>
                <w:szCs w:val="23"/>
              </w:rPr>
            </w:r>
          </w:p>
        </w:tc>
      </w:tr>
      <w:tr>
        <w:trPr/>
        <w:tc>
          <w:tcPr>
            <w:tcW w:w="5100" w:type="dxa"/>
            <w:tcBorders>
              <w:top w:val="single" w:sz="6" w:space="0" w:color="000000"/>
              <w:left w:val="single" w:sz="4" w:space="0" w:color="000000"/>
              <w:bottom w:val="single" w:sz="4" w:space="0" w:color="000000"/>
              <w:right w:val="single" w:sz="6" w:space="0" w:color="000000"/>
            </w:tcBorders>
            <w:shd w:color="auto" w:fill="auto" w:val="clear"/>
          </w:tcPr>
          <w:p>
            <w:pPr>
              <w:pStyle w:val="Normal"/>
              <w:widowControl w:val="false"/>
              <w:rPr>
                <w:sz w:val="23"/>
                <w:szCs w:val="23"/>
              </w:rPr>
            </w:pPr>
            <w:r>
              <w:rPr>
                <w:sz w:val="23"/>
                <w:szCs w:val="23"/>
              </w:rPr>
              <w:t xml:space="preserve">_______________ / </w:t>
            </w:r>
            <w:r>
              <w:rPr>
                <w:b/>
                <w:sz w:val="23"/>
                <w:szCs w:val="23"/>
              </w:rPr>
              <w:t>______________</w:t>
            </w:r>
            <w:r>
              <w:rPr>
                <w:sz w:val="23"/>
                <w:szCs w:val="23"/>
              </w:rPr>
              <w:t xml:space="preserve"> / </w:t>
            </w:r>
          </w:p>
          <w:p>
            <w:pPr>
              <w:pStyle w:val="Normal"/>
              <w:widowControl w:val="false"/>
              <w:rPr>
                <w:sz w:val="23"/>
                <w:szCs w:val="23"/>
              </w:rPr>
            </w:pPr>
            <w:r>
              <w:rPr>
                <w:sz w:val="23"/>
                <w:szCs w:val="23"/>
              </w:rPr>
            </w:r>
          </w:p>
        </w:tc>
        <w:tc>
          <w:tcPr>
            <w:tcW w:w="4789" w:type="dxa"/>
            <w:tcBorders>
              <w:top w:val="single" w:sz="6" w:space="0" w:color="000000"/>
              <w:left w:val="single" w:sz="6" w:space="0" w:color="000000"/>
              <w:bottom w:val="single" w:sz="4" w:space="0" w:color="000000"/>
              <w:right w:val="single" w:sz="4" w:space="0" w:color="000000"/>
            </w:tcBorders>
            <w:shd w:color="auto" w:fill="auto" w:val="clear"/>
          </w:tcPr>
          <w:p>
            <w:pPr>
              <w:pStyle w:val="Normal"/>
              <w:widowControl w:val="false"/>
              <w:rPr>
                <w:sz w:val="23"/>
                <w:szCs w:val="23"/>
              </w:rPr>
            </w:pPr>
            <w:r>
              <w:rPr>
                <w:sz w:val="23"/>
                <w:szCs w:val="23"/>
              </w:rPr>
              <w:t xml:space="preserve">_______________ / </w:t>
            </w:r>
            <w:r>
              <w:rPr>
                <w:b/>
                <w:sz w:val="23"/>
                <w:szCs w:val="23"/>
              </w:rPr>
              <w:t xml:space="preserve">___________ </w:t>
            </w:r>
            <w:r>
              <w:rPr>
                <w:sz w:val="23"/>
                <w:szCs w:val="23"/>
              </w:rPr>
              <w:t xml:space="preserve">/ </w:t>
            </w:r>
          </w:p>
        </w:tc>
      </w:tr>
    </w:tbl>
    <w:p>
      <w:pPr>
        <w:pStyle w:val="Normal"/>
        <w:tabs>
          <w:tab w:val="clear" w:pos="708"/>
          <w:tab w:val="left" w:pos="8670" w:leader="none"/>
        </w:tabs>
        <w:rPr/>
      </w:pPr>
      <w:r>
        <w:rPr/>
        <w:tab/>
      </w:r>
    </w:p>
    <w:p>
      <w:pPr>
        <w:pStyle w:val="Normal"/>
        <w:tabs>
          <w:tab w:val="clear" w:pos="708"/>
          <w:tab w:val="left" w:pos="8670" w:leader="none"/>
        </w:tabs>
        <w:rPr/>
      </w:pPr>
      <w:r>
        <w:rPr/>
      </w:r>
    </w:p>
    <w:p>
      <w:pPr>
        <w:pStyle w:val="Normal"/>
        <w:tabs>
          <w:tab w:val="clear" w:pos="708"/>
          <w:tab w:val="left" w:pos="8670" w:leader="none"/>
        </w:tabs>
        <w:rPr/>
      </w:pPr>
      <w:r>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jc w:val="right"/>
        <w:rPr>
          <w:sz w:val="22"/>
          <w:szCs w:val="22"/>
        </w:rPr>
      </w:pPr>
      <w:r>
        <w:rPr>
          <w:sz w:val="22"/>
          <w:szCs w:val="22"/>
        </w:rPr>
        <w:t>Приложение № 2</w:t>
      </w:r>
    </w:p>
    <w:p>
      <w:pPr>
        <w:pStyle w:val="Normal"/>
        <w:jc w:val="right"/>
        <w:rPr>
          <w:sz w:val="22"/>
          <w:szCs w:val="22"/>
        </w:rPr>
      </w:pPr>
      <w:r>
        <w:rPr>
          <w:sz w:val="22"/>
          <w:szCs w:val="22"/>
        </w:rPr>
        <w:t xml:space="preserve">к Договору поставки </w:t>
      </w:r>
    </w:p>
    <w:p>
      <w:pPr>
        <w:pStyle w:val="Normal"/>
        <w:jc w:val="right"/>
        <w:rPr>
          <w:sz w:val="22"/>
          <w:szCs w:val="22"/>
        </w:rPr>
      </w:pPr>
      <w:r>
        <w:rPr>
          <w:sz w:val="22"/>
          <w:szCs w:val="22"/>
        </w:rPr>
        <w:t xml:space="preserve">от «____» ________ 2026 г. № </w:t>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t>ТЕХНИЧЕСКИЕ ТРЕБОВАНИЯ</w:t>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t>ПОДПИСИ СТОРОН:</w:t>
      </w:r>
    </w:p>
    <w:p>
      <w:pPr>
        <w:pStyle w:val="Normal"/>
        <w:jc w:val="center"/>
        <w:rPr>
          <w:sz w:val="22"/>
          <w:szCs w:val="22"/>
        </w:rPr>
      </w:pPr>
      <w:r>
        <w:rPr>
          <w:sz w:val="22"/>
          <w:szCs w:val="22"/>
        </w:rPr>
      </w:r>
    </w:p>
    <w:p>
      <w:pPr>
        <w:pStyle w:val="Normal"/>
        <w:jc w:val="center"/>
        <w:rPr>
          <w:sz w:val="22"/>
          <w:szCs w:val="22"/>
        </w:rPr>
      </w:pPr>
      <w:r>
        <w:rPr>
          <w:sz w:val="22"/>
          <w:szCs w:val="22"/>
        </w:rPr>
      </w:r>
    </w:p>
    <w:tbl>
      <w:tblPr>
        <w:tblStyle w:val="affb"/>
        <w:tblW w:w="991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955"/>
        <w:gridCol w:w="4955"/>
      </w:tblGrid>
      <w:tr>
        <w:trPr/>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Покупатель:</w:t>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tc>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Поставщик:</w:t>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tc>
      </w:tr>
      <w:tr>
        <w:trPr/>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_____________________/_____________</w:t>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tc>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_____________________/_____________</w:t>
            </w:r>
          </w:p>
        </w:tc>
      </w:tr>
    </w:tbl>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right"/>
        <w:rPr>
          <w:sz w:val="22"/>
          <w:szCs w:val="22"/>
        </w:rPr>
      </w:pPr>
      <w:bookmarkStart w:id="11" w:name="_GoBack"/>
      <w:bookmarkEnd w:id="11"/>
      <w:r>
        <w:rPr>
          <w:sz w:val="22"/>
          <w:szCs w:val="22"/>
        </w:rPr>
        <w:t>Приложение № 3</w:t>
      </w:r>
    </w:p>
    <w:p>
      <w:pPr>
        <w:pStyle w:val="Normal"/>
        <w:jc w:val="right"/>
        <w:rPr>
          <w:sz w:val="22"/>
          <w:szCs w:val="22"/>
        </w:rPr>
      </w:pPr>
      <w:r>
        <w:rPr>
          <w:sz w:val="22"/>
          <w:szCs w:val="22"/>
        </w:rPr>
        <w:t xml:space="preserve">            </w:t>
      </w:r>
      <w:r>
        <w:rPr>
          <w:sz w:val="22"/>
          <w:szCs w:val="22"/>
        </w:rPr>
        <w:t>к Договору поставки</w:t>
      </w:r>
    </w:p>
    <w:p>
      <w:pPr>
        <w:pStyle w:val="Normal"/>
        <w:jc w:val="right"/>
        <w:rPr>
          <w:sz w:val="22"/>
          <w:szCs w:val="22"/>
        </w:rPr>
      </w:pPr>
      <w:r>
        <w:rPr>
          <w:sz w:val="22"/>
          <w:szCs w:val="22"/>
        </w:rPr>
        <w:t xml:space="preserve">              </w:t>
      </w:r>
      <w:r>
        <w:rPr>
          <w:sz w:val="22"/>
          <w:szCs w:val="22"/>
        </w:rPr>
        <w:t>от «____» ________ 2026 г. №_______</w:t>
      </w:r>
    </w:p>
    <w:p>
      <w:pPr>
        <w:pStyle w:val="Normal"/>
        <w:jc w:val="right"/>
        <w:rPr>
          <w:sz w:val="22"/>
          <w:szCs w:val="22"/>
        </w:rPr>
      </w:pPr>
      <w:r>
        <w:rPr>
          <w:sz w:val="22"/>
          <w:szCs w:val="22"/>
        </w:rPr>
      </w:r>
    </w:p>
    <w:p>
      <w:pPr>
        <w:pStyle w:val="Normal"/>
        <w:widowControl/>
        <w:spacing w:before="20" w:after="20"/>
        <w:ind w:firstLine="709"/>
        <w:jc w:val="center"/>
        <w:rPr>
          <w:sz w:val="24"/>
          <w:szCs w:val="24"/>
        </w:rPr>
      </w:pPr>
      <w:bookmarkStart w:id="12" w:name="_Toc122678954_Копия_5"/>
      <w:r>
        <w:rPr>
          <w:b/>
          <w:sz w:val="24"/>
          <w:szCs w:val="24"/>
        </w:rPr>
        <w:t>Методика расчета упущенной выгоды (выручки)</w:t>
      </w:r>
      <w:bookmarkEnd w:id="12"/>
      <w:r>
        <w:rPr>
          <w:b/>
          <w:sz w:val="24"/>
          <w:szCs w:val="24"/>
        </w:rPr>
        <w:t xml:space="preserve"> </w:t>
      </w:r>
    </w:p>
    <w:p>
      <w:pPr>
        <w:pStyle w:val="Normal"/>
        <w:spacing w:before="20" w:after="20"/>
        <w:ind w:firstLine="709"/>
        <w:jc w:val="center"/>
        <w:rPr>
          <w:b/>
          <w:sz w:val="24"/>
          <w:szCs w:val="24"/>
        </w:rPr>
      </w:pPr>
      <w:r>
        <w:rPr>
          <w:b/>
          <w:sz w:val="24"/>
          <w:szCs w:val="24"/>
        </w:rPr>
        <w:t>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отпового рынка Дальнего Востока</w:t>
      </w:r>
    </w:p>
    <w:p>
      <w:pPr>
        <w:pStyle w:val="Normal"/>
        <w:widowControl/>
        <w:spacing w:before="20" w:after="20"/>
        <w:ind w:firstLine="709"/>
        <w:jc w:val="center"/>
        <w:rPr>
          <w:sz w:val="24"/>
          <w:szCs w:val="24"/>
        </w:rPr>
      </w:pPr>
      <w:r>
        <w:rPr>
          <w:sz w:val="24"/>
          <w:szCs w:val="24"/>
        </w:rPr>
      </w:r>
    </w:p>
    <w:p>
      <w:pPr>
        <w:pStyle w:val="Normal"/>
        <w:widowControl/>
        <w:ind w:firstLine="709"/>
        <w:jc w:val="both"/>
        <w:rPr>
          <w:sz w:val="24"/>
          <w:szCs w:val="24"/>
        </w:rPr>
      </w:pPr>
      <w:r>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pPr>
        <w:pStyle w:val="Normal"/>
        <w:widowControl/>
        <w:ind w:firstLine="709"/>
        <w:jc w:val="both"/>
        <w:rPr>
          <w:sz w:val="24"/>
          <w:szCs w:val="24"/>
        </w:rPr>
      </w:pPr>
      <w:r>
        <w:rPr>
          <w:sz w:val="24"/>
          <w:szCs w:val="24"/>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pPr>
        <w:pStyle w:val="Normal"/>
        <w:widowControl/>
        <w:spacing w:before="20" w:after="20"/>
        <w:ind w:firstLine="709"/>
        <w:jc w:val="both"/>
        <w:rPr>
          <w:sz w:val="24"/>
          <w:szCs w:val="24"/>
        </w:rPr>
      </w:pPr>
      <w:r>
        <w:rPr>
          <w:sz w:val="24"/>
          <w:szCs w:val="24"/>
        </w:rPr>
        <w:t xml:space="preserve"> </w:t>
      </w:r>
      <w:r>
        <w:rPr>
          <w:sz w:val="24"/>
          <w:szCs w:val="24"/>
        </w:rPr>
        <w:t xml:space="preserve">В заявках должны быть указаны: </w:t>
      </w:r>
    </w:p>
    <w:p>
      <w:pPr>
        <w:pStyle w:val="Normal"/>
        <w:widowControl/>
        <w:numPr>
          <w:ilvl w:val="0"/>
          <w:numId w:val="9"/>
        </w:numPr>
        <w:ind w:left="0" w:firstLine="709"/>
        <w:jc w:val="both"/>
        <w:rPr>
          <w:bCs/>
          <w:sz w:val="24"/>
          <w:szCs w:val="24"/>
          <w:lang w:val="en-GB"/>
        </w:rPr>
      </w:pPr>
      <w:r>
        <w:rPr>
          <w:bCs/>
          <w:sz w:val="24"/>
          <w:szCs w:val="24"/>
          <w:lang w:val="en-GB"/>
        </w:rPr>
        <w:t>номер заявки;</w:t>
      </w:r>
    </w:p>
    <w:p>
      <w:pPr>
        <w:pStyle w:val="Normal"/>
        <w:widowControl/>
        <w:numPr>
          <w:ilvl w:val="0"/>
          <w:numId w:val="9"/>
        </w:numPr>
        <w:ind w:left="0" w:firstLine="709"/>
        <w:jc w:val="both"/>
        <w:rPr>
          <w:bCs/>
          <w:sz w:val="24"/>
          <w:szCs w:val="24"/>
          <w:lang w:val="en-GB"/>
        </w:rPr>
      </w:pPr>
      <w:r>
        <w:rPr>
          <w:bCs/>
          <w:sz w:val="24"/>
          <w:szCs w:val="24"/>
          <w:lang w:val="en-GB"/>
        </w:rPr>
        <w:t>подающее предприятие;</w:t>
      </w:r>
    </w:p>
    <w:p>
      <w:pPr>
        <w:pStyle w:val="Normal"/>
        <w:widowControl/>
        <w:numPr>
          <w:ilvl w:val="0"/>
          <w:numId w:val="9"/>
        </w:numPr>
        <w:ind w:left="0" w:firstLine="709"/>
        <w:jc w:val="both"/>
        <w:rPr>
          <w:bCs/>
          <w:sz w:val="24"/>
          <w:szCs w:val="24"/>
        </w:rPr>
      </w:pPr>
      <w:r>
        <w:rPr>
          <w:bCs/>
          <w:sz w:val="24"/>
          <w:szCs w:val="24"/>
        </w:rPr>
        <w:t>оборудование, по которому фиксируется изменение эксплуатационного состояния или технологического режима работы;</w:t>
      </w:r>
    </w:p>
    <w:p>
      <w:pPr>
        <w:pStyle w:val="Normal"/>
        <w:widowControl/>
        <w:numPr>
          <w:ilvl w:val="0"/>
          <w:numId w:val="9"/>
        </w:numPr>
        <w:ind w:left="0" w:firstLine="709"/>
        <w:jc w:val="both"/>
        <w:rPr>
          <w:bCs/>
          <w:sz w:val="24"/>
          <w:szCs w:val="24"/>
          <w:lang w:val="en-GB"/>
        </w:rPr>
      </w:pPr>
      <w:r>
        <w:rPr>
          <w:bCs/>
          <w:sz w:val="24"/>
          <w:szCs w:val="24"/>
          <w:lang w:val="en-GB"/>
        </w:rPr>
        <w:t>величина снижения максимальной мощности;</w:t>
      </w:r>
    </w:p>
    <w:p>
      <w:pPr>
        <w:pStyle w:val="Normal"/>
        <w:widowControl/>
        <w:numPr>
          <w:ilvl w:val="0"/>
          <w:numId w:val="9"/>
        </w:numPr>
        <w:ind w:left="0" w:firstLine="709"/>
        <w:jc w:val="both"/>
        <w:rPr>
          <w:bCs/>
          <w:sz w:val="24"/>
          <w:szCs w:val="24"/>
          <w:lang w:val="en-GB"/>
        </w:rPr>
      </w:pPr>
      <w:r>
        <w:rPr>
          <w:bCs/>
          <w:sz w:val="24"/>
          <w:szCs w:val="24"/>
          <w:lang w:val="en-GB"/>
        </w:rPr>
        <w:t>содержание работ;</w:t>
      </w:r>
    </w:p>
    <w:p>
      <w:pPr>
        <w:pStyle w:val="Normal"/>
        <w:widowControl/>
        <w:numPr>
          <w:ilvl w:val="0"/>
          <w:numId w:val="9"/>
        </w:numPr>
        <w:ind w:left="0" w:firstLine="709"/>
        <w:jc w:val="both"/>
        <w:rPr>
          <w:bCs/>
          <w:sz w:val="24"/>
          <w:szCs w:val="24"/>
          <w:lang w:val="en-GB"/>
        </w:rPr>
      </w:pPr>
      <w:r>
        <w:rPr>
          <w:bCs/>
          <w:sz w:val="24"/>
          <w:szCs w:val="24"/>
          <w:lang w:val="en-GB"/>
        </w:rPr>
        <w:t>время подачи заявки;</w:t>
      </w:r>
    </w:p>
    <w:p>
      <w:pPr>
        <w:pStyle w:val="Normal"/>
        <w:widowControl/>
        <w:numPr>
          <w:ilvl w:val="0"/>
          <w:numId w:val="9"/>
        </w:numPr>
        <w:ind w:left="0" w:firstLine="709"/>
        <w:jc w:val="both"/>
        <w:rPr>
          <w:bCs/>
          <w:sz w:val="24"/>
          <w:szCs w:val="24"/>
        </w:rPr>
      </w:pPr>
      <w:r>
        <w:rPr>
          <w:bCs/>
          <w:sz w:val="24"/>
          <w:szCs w:val="24"/>
        </w:rPr>
        <w:t>время начала и конца действия заявки и др.</w:t>
      </w:r>
    </w:p>
    <w:p>
      <w:pPr>
        <w:pStyle w:val="Normal"/>
        <w:widowControl/>
        <w:spacing w:before="120" w:after="20"/>
        <w:ind w:firstLine="709"/>
        <w:jc w:val="both"/>
        <w:rPr>
          <w:sz w:val="24"/>
          <w:szCs w:val="24"/>
        </w:rPr>
      </w:pPr>
      <w:r>
        <w:rPr>
          <w:sz w:val="24"/>
          <w:szCs w:val="24"/>
        </w:rPr>
        <w:t>2.</w:t>
        <w:tab/>
      </w:r>
      <w:r>
        <w:rPr/>
      </w:r>
      <m:oMath xmlns:m="http://schemas.openxmlformats.org/officeDocument/2006/math">
        <m:sSubSup>
          <m:e>
            <m:r>
              <w:rPr>
                <w:rFonts w:ascii="Cambria Math" w:hAnsi="Cambria Math"/>
              </w:rPr>
              <m:t xml:space="preserve">Δ</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r>
              <w:rPr>
                <w:rFonts w:ascii="Cambria Math" w:hAnsi="Cambria Math"/>
              </w:rPr>
              <m:t xml:space="preserve">,</m:t>
            </m:r>
            <m:r>
              <w:rPr>
                <w:rFonts w:ascii="Cambria Math" w:hAnsi="Cambria Math"/>
              </w:rPr>
              <m:t xml:space="preserve">h</m:t>
            </m:r>
          </m:sub>
          <m:sup>
            <m:r>
              <w:rPr>
                <w:rFonts w:ascii="Cambria Math" w:hAnsi="Cambria Math"/>
              </w:rPr>
              <m:t xml:space="preserve">j</m:t>
            </m:r>
          </m:sup>
        </m:sSubSup>
        <m:sSubSup>
          <m:e>
            <m:r>
              <w:rPr>
                <w:rFonts w:ascii="Cambria Math" w:hAnsi="Cambria Math"/>
              </w:rPr>
              <m:t xml:space="preserve">Δ</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2</m:t>
            </m:r>
            <m:r>
              <w:rPr>
                <w:rFonts w:ascii="Cambria Math" w:hAnsi="Cambria Math"/>
              </w:rPr>
              <m:t xml:space="preserve">,</m:t>
            </m:r>
            <m:r>
              <w:rPr>
                <w:rFonts w:ascii="Cambria Math" w:hAnsi="Cambria Math"/>
              </w:rPr>
              <m:t xml:space="preserve">h</m:t>
            </m:r>
          </m:sub>
          <m:sup>
            <m:r>
              <w:rPr>
                <w:rFonts w:ascii="Cambria Math" w:hAnsi="Cambria Math"/>
              </w:rPr>
              <m:t xml:space="preserve">j</m:t>
            </m:r>
          </m:sup>
        </m:sSubSup>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2</m:t>
                </m:r>
                <m:r>
                  <m:rPr>
                    <m:lit/>
                    <m:nor/>
                  </m:rPr>
                  <w:rPr>
                    <w:rFonts w:ascii="Cambria Math" w:hAnsi="Cambria Math"/>
                  </w:rPr>
                  <m:t xml:space="preserve">_max,</m:t>
                </m:r>
                <m:r>
                  <w:rPr>
                    <w:rFonts w:ascii="Cambria Math" w:hAnsi="Cambria Math"/>
                  </w:rPr>
                  <m:t xml:space="preserve">h</m:t>
                </m:r>
              </m:sub>
              <m:sup>
                <m:r>
                  <w:rPr>
                    <w:rFonts w:ascii="Cambria Math" w:hAnsi="Cambria Math"/>
                  </w:rPr>
                  <m:t xml:space="preserve">1</m:t>
                </m:r>
                <m:d>
                  <m:dPr>
                    <m:begChr m:val="("/>
                    <m:endChr m:val=")"/>
                  </m:dPr>
                  <m:e>
                    <m:r>
                      <m:rPr>
                        <m:lit/>
                        <m:nor/>
                      </m:rPr>
                      <w:rPr>
                        <w:rFonts w:ascii="Cambria Math" w:hAnsi="Cambria Math"/>
                      </w:rPr>
                      <m:t xml:space="preserve">120</m:t>
                    </m:r>
                  </m:e>
                </m:d>
              </m:sup>
            </m:sSubSup>
          </m:sup>
        </m:sSup>
        <m:sSub>
          <m:e>
            <m:r>
              <w:rPr>
                <w:rFonts w:ascii="Cambria Math" w:hAnsi="Cambria Math"/>
              </w:rPr>
              <m:t xml:space="preserve">k</m:t>
            </m:r>
          </m:e>
          <m:sub>
            <m:r>
              <w:rPr>
                <w:rFonts w:ascii="Cambria Math" w:hAnsi="Cambria Math"/>
              </w:rPr>
              <m:t xml:space="preserve">Α</m:t>
            </m:r>
            <m:r>
              <w:rPr>
                <w:rFonts w:ascii="Cambria Math" w:hAnsi="Cambria Math"/>
              </w:rPr>
              <m:t xml:space="preserve">2</m:t>
            </m:r>
          </m:sub>
        </m:sSub>
        <m:sSub>
          <m:e>
            <m:r>
              <w:rPr>
                <w:rFonts w:ascii="Cambria Math" w:hAnsi="Cambria Math"/>
              </w:rPr>
              <m:t xml:space="preserve">k</m:t>
            </m:r>
          </m:e>
          <m:sub>
            <m:r>
              <w:rPr>
                <w:rFonts w:ascii="Cambria Math" w:hAnsi="Cambria Math"/>
              </w:rPr>
              <m:t xml:space="preserve">Α</m:t>
            </m:r>
            <m:r>
              <w:rPr>
                <w:rFonts w:ascii="Cambria Math" w:hAnsi="Cambria Math"/>
              </w:rPr>
              <m:t xml:space="preserve">3</m:t>
            </m:r>
          </m:sub>
        </m:sSub>
        <m:sSub>
          <m:e>
            <m:r>
              <w:rPr>
                <w:rFonts w:ascii="Cambria Math" w:hAnsi="Cambria Math"/>
              </w:rPr>
              <m:t xml:space="preserve">k</m:t>
            </m:r>
          </m:e>
          <m:sub>
            <m:r>
              <m:rPr>
                <m:lit/>
                <m:nor/>
              </m:rPr>
              <w:rPr>
                <w:rFonts w:ascii="Cambria Math" w:hAnsi="Cambria Math"/>
              </w:rPr>
              <m:t xml:space="preserve">Б1</m:t>
            </m:r>
          </m:sub>
        </m:sSub>
        <m:sSub>
          <m:e>
            <m:r>
              <w:rPr>
                <w:rFonts w:ascii="Cambria Math" w:hAnsi="Cambria Math"/>
              </w:rPr>
              <m:t xml:space="preserve">k</m:t>
            </m:r>
          </m:e>
          <m:sub>
            <m:r>
              <m:rPr>
                <m:lit/>
                <m:nor/>
              </m:rPr>
              <w:rPr>
                <w:rFonts w:ascii="Cambria Math" w:hAnsi="Cambria Math"/>
              </w:rPr>
              <m:t xml:space="preserve">Б2</m:t>
            </m:r>
          </m:sub>
        </m:sSub>
        <m:sSub>
          <m:e>
            <m:r>
              <w:rPr>
                <w:rFonts w:ascii="Cambria Math" w:hAnsi="Cambria Math"/>
              </w:rPr>
              <m:t xml:space="preserve">k</m:t>
            </m:r>
          </m:e>
          <m:sub>
            <m:r>
              <m:rPr>
                <m:lit/>
                <m:nor/>
              </m:rPr>
              <w:rPr>
                <w:rFonts w:ascii="Cambria Math" w:hAnsi="Cambria Math"/>
              </w:rPr>
              <m:t xml:space="preserve">В2</m:t>
            </m:r>
          </m:sub>
        </m:sSub>
        <m:sSub>
          <m:e>
            <m:r>
              <w:rPr>
                <w:rFonts w:ascii="Cambria Math" w:hAnsi="Cambria Math"/>
              </w:rPr>
              <m:t xml:space="preserve">k</m:t>
            </m:r>
          </m:e>
          <m:sub>
            <m:r>
              <m:rPr>
                <m:lit/>
                <m:nor/>
              </m:rPr>
              <w:rPr>
                <w:rFonts w:ascii="Cambria Math" w:hAnsi="Cambria Math"/>
              </w:rPr>
              <m:t xml:space="preserve">В3</m:t>
            </m:r>
          </m:sub>
        </m:sSub>
        <m:sSub>
          <m:e>
            <m:r>
              <w:rPr>
                <w:rFonts w:ascii="Cambria Math" w:hAnsi="Cambria Math"/>
              </w:rPr>
              <m:t xml:space="preserve">k</m:t>
            </m:r>
          </m:e>
          <m:sub>
            <m:r>
              <m:rPr>
                <m:lit/>
                <m:nor/>
              </m:rPr>
              <w:rPr>
                <w:rFonts w:ascii="Cambria Math" w:hAnsi="Cambria Math"/>
              </w:rPr>
              <m:t xml:space="preserve">Г1</m:t>
            </m:r>
          </m:sub>
        </m:sSub>
        <m:sSub>
          <m:e>
            <m:r>
              <w:rPr>
                <w:rFonts w:ascii="Cambria Math" w:hAnsi="Cambria Math"/>
              </w:rPr>
              <m:t xml:space="preserve">k</m:t>
            </m:r>
          </m:e>
          <m:sub>
            <m:r>
              <m:rPr>
                <m:lit/>
                <m:nor/>
              </m:rPr>
              <w:rPr>
                <w:rFonts w:ascii="Cambria Math" w:hAnsi="Cambria Math"/>
              </w:rPr>
              <m:t xml:space="preserve">Г2</m:t>
            </m:r>
          </m:sub>
        </m:sSub>
        <m:sSub>
          <m:e>
            <m:r>
              <w:rPr>
                <w:rFonts w:ascii="Cambria Math" w:hAnsi="Cambria Math"/>
              </w:rPr>
              <m:t xml:space="preserve">k</m:t>
            </m:r>
          </m:e>
          <m:sub>
            <m:r>
              <m:rPr>
                <m:lit/>
                <m:nor/>
              </m:rPr>
              <w:rPr>
                <w:rFonts w:ascii="Cambria Math" w:hAnsi="Cambria Math"/>
              </w:rPr>
              <m:t xml:space="preserve">Г3</m:t>
            </m:r>
          </m:sub>
        </m:sSub>
        <m:sSub>
          <m:e>
            <m:r>
              <w:rPr>
                <w:rFonts w:ascii="Cambria Math" w:hAnsi="Cambria Math"/>
              </w:rPr>
              <m:t xml:space="preserve">k</m:t>
            </m:r>
          </m:e>
          <m:sub>
            <m:r>
              <w:rPr>
                <w:rFonts w:ascii="Cambria Math" w:hAnsi="Cambria Math"/>
              </w:rPr>
              <m:t xml:space="preserve">Д</m:t>
            </m:r>
          </m:sub>
        </m:sSub>
        <m:sSub>
          <m:e>
            <m:r>
              <w:rPr>
                <w:rFonts w:ascii="Cambria Math" w:hAnsi="Cambria Math"/>
              </w:rPr>
              <m:t xml:space="preserve">k</m:t>
            </m:r>
          </m:e>
          <m:sub>
            <m:r>
              <w:rPr>
                <w:rFonts w:ascii="Cambria Math" w:hAnsi="Cambria Math"/>
              </w:rPr>
              <m:t xml:space="preserve">Е</m:t>
            </m:r>
          </m:sub>
        </m:sSub>
        <m:sSub>
          <m:e>
            <m:r>
              <w:rPr>
                <w:rFonts w:ascii="Cambria Math" w:hAnsi="Cambria Math"/>
              </w:rPr>
              <m:t xml:space="preserve">k</m:t>
            </m:r>
          </m:e>
          <m:sub>
            <m:r>
              <w:rPr>
                <w:rFonts w:ascii="Cambria Math" w:hAnsi="Cambria Math"/>
              </w:rPr>
              <m:t xml:space="preserve">Ж</m:t>
            </m:r>
          </m:sub>
        </m:sSub>
        <m:sSub>
          <m:e>
            <m:r>
              <w:rPr>
                <w:rFonts w:ascii="Cambria Math" w:hAnsi="Cambria Math"/>
              </w:rPr>
              <m:t xml:space="preserve">k</m:t>
            </m:r>
          </m:e>
          <m:sub>
            <m:r>
              <w:rPr>
                <w:rFonts w:ascii="Cambria Math" w:hAnsi="Cambria Math"/>
              </w:rPr>
              <m:t xml:space="preserve">З</m:t>
            </m:r>
          </m:sub>
        </m:sSub>
        <m:sSub>
          <m:e>
            <m:r>
              <w:rPr>
                <w:rFonts w:ascii="Cambria Math" w:hAnsi="Cambria Math"/>
              </w:rPr>
              <m:t xml:space="preserve">k</m:t>
            </m:r>
          </m:e>
          <m:sub>
            <m:r>
              <w:rPr>
                <w:rFonts w:ascii="Cambria Math" w:hAnsi="Cambria Math"/>
              </w:rPr>
              <m:t xml:space="preserve">И</m:t>
            </m:r>
          </m:sub>
        </m:sSub>
      </m:oMath>
      <w:r>
        <w:rPr>
          <w:sz w:val="24"/>
          <w:szCs w:val="24"/>
        </w:rPr>
        <w:t xml:space="preserve">Данные о параметрах готовности генерирующего оборудования (ГРМ), а также информация о фактической нагрузке по данным СОТИАССО на конец каждого часа отчетного месяца по ГТП, сформированные Системным Оператором  соответствии с п. 6.  «Технических требований к генерирующему оборудованию участников оптового рынка», п. 5. «Порядка установления соответствия генерирующего оборудования участников оптового рынка техническим требованиям» и пп. 3.4.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 </w:t>
      </w:r>
    </w:p>
    <w:p>
      <w:pPr>
        <w:pStyle w:val="Normal"/>
        <w:spacing w:before="20" w:after="20"/>
        <w:ind w:firstLine="709"/>
        <w:rPr>
          <w:sz w:val="24"/>
          <w:szCs w:val="24"/>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0</m:t>
                </m:r>
                <m:r>
                  <m:rPr>
                    <m:lit/>
                    <m:nor/>
                  </m:rPr>
                  <w:rPr>
                    <w:rFonts w:ascii="Cambria Math" w:hAnsi="Cambria Math"/>
                  </w:rPr>
                  <m:t xml:space="preserve">,m</m:t>
                </m:r>
              </m:sub>
              <m:sup>
                <m:r>
                  <w:rPr>
                    <w:rFonts w:ascii="Cambria Math" w:hAnsi="Cambria Math"/>
                  </w:rPr>
                  <m:t xml:space="preserve">1</m:t>
                </m:r>
              </m:sup>
            </m:sSubSup>
          </m:sup>
        </m:sSup>
      </m:oMath>
      <w:r>
        <w:rPr>
          <w:sz w:val="24"/>
          <w:szCs w:val="24"/>
        </w:rPr>
        <w:t xml:space="preserve"> – </w:t>
      </w:r>
      <w:r>
        <w:rPr>
          <w:sz w:val="24"/>
          <w:szCs w:val="24"/>
        </w:rPr>
        <w:t xml:space="preserve">величина согласованных ограничений установленной мощности в пределах, заявленных по процедуре конкурентного отбора мощности (КОМ); </w:t>
      </w:r>
    </w:p>
    <w:p>
      <w:pPr>
        <w:pStyle w:val="Normal"/>
        <w:spacing w:lineRule="auto" w:line="276" w:before="120" w:after="20"/>
        <w:ind w:firstLine="709"/>
        <w:jc w:val="both"/>
        <w:rPr>
          <w:sz w:val="24"/>
          <w:szCs w:val="24"/>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0</m:t>
                </m:r>
                <m:r>
                  <m:rPr>
                    <m:lit/>
                    <m:nor/>
                  </m:rPr>
                  <w:rPr>
                    <w:rFonts w:ascii="Cambria Math" w:hAnsi="Cambria Math"/>
                  </w:rPr>
                  <m:t xml:space="preserve">,m</m:t>
                </m:r>
              </m:sub>
              <m:sup>
                <m:r>
                  <w:rPr>
                    <w:rFonts w:ascii="Cambria Math" w:hAnsi="Cambria Math"/>
                  </w:rPr>
                  <m:t xml:space="preserve">2</m:t>
                </m:r>
              </m:sup>
            </m:sSubSup>
          </m:sup>
        </m:sSup>
      </m:oMath>
      <w:r>
        <w:rPr>
          <w:sz w:val="24"/>
          <w:szCs w:val="24"/>
        </w:rPr>
        <w:t xml:space="preserve"> – </w:t>
      </w:r>
      <w:r>
        <w:rPr>
          <w:sz w:val="24"/>
          <w:szCs w:val="24"/>
        </w:rPr>
        <w:t>величина согласованных ограничений установленной мощности сверх, заявленных в КОМ;</w:t>
      </w:r>
    </w:p>
    <w:p>
      <w:pPr>
        <w:pStyle w:val="Normal"/>
        <w:spacing w:lineRule="auto" w:line="276" w:before="20" w:after="20"/>
        <w:ind w:firstLine="709"/>
        <w:jc w:val="both"/>
        <w:rPr>
          <w:sz w:val="24"/>
          <w:szCs w:val="24"/>
        </w:rPr>
      </w:pPr>
      <w:r>
        <w:rPr/>
        <w:drawing>
          <wp:inline distT="0" distB="0" distL="0" distR="0">
            <wp:extent cx="323850" cy="219075"/>
            <wp:effectExtent l="0" t="0" r="0" b="0"/>
            <wp:docPr id="1"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descr=""/>
                    <pic:cNvPicPr>
                      <a:picLocks noChangeAspect="1" noChangeArrowheads="1"/>
                    </pic:cNvPicPr>
                  </pic:nvPicPr>
                  <pic:blipFill>
                    <a:blip r:embed="rId6"/>
                    <a:srcRect l="-222" t="-329" r="-222" b="-329"/>
                    <a:stretch>
                      <a:fillRect/>
                    </a:stretch>
                  </pic:blipFill>
                  <pic:spPr bwMode="auto">
                    <a:xfrm>
                      <a:off x="0" y="0"/>
                      <a:ext cx="323850" cy="219075"/>
                    </a:xfrm>
                    <a:prstGeom prst="rect">
                      <a:avLst/>
                    </a:prstGeom>
                  </pic:spPr>
                </pic:pic>
              </a:graphicData>
            </a:graphic>
          </wp:inline>
        </w:drawing>
      </w:r>
      <w:r>
        <w:rPr>
          <w:sz w:val="24"/>
          <w:szCs w:val="24"/>
        </w:rPr>
        <w:t xml:space="preserve"> – </w:t>
      </w:r>
      <w:r>
        <w:rPr>
          <w:sz w:val="24"/>
          <w:szCs w:val="24"/>
        </w:rPr>
        <w:t>величина согласованного планового ремонтного снижения мощности;</w:t>
      </w:r>
    </w:p>
    <w:p>
      <w:pPr>
        <w:pStyle w:val="Normal"/>
        <w:spacing w:lineRule="auto" w:line="276" w:before="20" w:after="20"/>
        <w:ind w:firstLine="709"/>
        <w:jc w:val="both"/>
        <w:rPr>
          <w:sz w:val="24"/>
          <w:szCs w:val="24"/>
        </w:rPr>
      </w:pPr>
      <w:r>
        <w:rPr/>
      </w:r>
      <m:oMath xmlns:m="http://schemas.openxmlformats.org/officeDocument/2006/math">
        <m:sSubSup>
          <m:e>
            <m:r>
              <w:rPr>
                <w:rFonts w:ascii="Cambria Math" w:hAnsi="Cambria Math"/>
              </w:rPr>
              <m:t xml:space="preserve">Δ</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,h</m:t>
            </m:r>
          </m:sub>
          <m:sup>
            <m:r>
              <w:rPr>
                <w:rFonts w:ascii="Cambria Math" w:hAnsi="Cambria Math"/>
              </w:rPr>
              <m:t xml:space="preserve">j</m:t>
            </m:r>
          </m:sup>
        </m:sSubSup>
      </m:oMath>
      <w:r>
        <w:rPr>
          <w:sz w:val="24"/>
          <w:szCs w:val="24"/>
        </w:rPr>
        <w:t xml:space="preserve"> – </w:t>
      </w:r>
      <w:r>
        <w:rPr>
          <w:sz w:val="24"/>
          <w:szCs w:val="24"/>
        </w:rPr>
        <w:t>плановое ремонтное снижение мощности, обусловленное проведением ремонта длительностью более 180 (сто восьмидесяти) суток для ТЭС в год;</w:t>
      </w:r>
    </w:p>
    <w:p>
      <w:pPr>
        <w:pStyle w:val="Normal"/>
        <w:spacing w:lineRule="auto" w:line="276" w:before="20" w:after="20"/>
        <w:ind w:firstLine="709"/>
        <w:jc w:val="both"/>
        <w:rPr>
          <w:sz w:val="24"/>
          <w:szCs w:val="24"/>
        </w:rPr>
      </w:pPr>
      <w:r>
        <w:rPr>
          <w:sz w:val="24"/>
          <w:szCs w:val="24"/>
        </w:rPr>
        <w:t xml:space="preserve"> – </w:t>
      </w:r>
      <w:r>
        <w:rPr>
          <w:sz w:val="24"/>
          <w:szCs w:val="24"/>
        </w:rPr>
        <w:t>итоговое значение согласованного планового ремонтного снижения располагаемой мощности;</w:t>
      </w:r>
    </w:p>
    <w:p>
      <w:pPr>
        <w:pStyle w:val="Normal"/>
        <w:spacing w:lineRule="auto" w:line="276" w:before="20" w:after="20"/>
        <w:ind w:firstLine="709"/>
        <w:jc w:val="both"/>
        <w:rPr>
          <w:sz w:val="24"/>
          <w:szCs w:val="24"/>
        </w:rPr>
      </w:pPr>
      <w:r>
        <w:rPr>
          <w:sz w:val="24"/>
          <w:szCs w:val="24"/>
        </w:rPr>
        <w:t xml:space="preserve"> </w:t>
      </w:r>
      <w:r>
        <w:rPr/>
      </w:r>
      <m:oMath xmlns:m="http://schemas.openxmlformats.org/officeDocument/2006/math">
        <m:sSubSup>
          <m:e>
            <m:r>
              <w:rPr>
                <w:rFonts w:ascii="Cambria Math" w:hAnsi="Cambria Math"/>
              </w:rPr>
              <m:t xml:space="preserve">∆</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4</m:t>
            </m:r>
            <m:r>
              <m:rPr>
                <m:lit/>
                <m:nor/>
              </m:rPr>
              <w:rPr>
                <w:rFonts w:ascii="Cambria Math" w:hAnsi="Cambria Math"/>
              </w:rPr>
              <m:t xml:space="preserve">,h</m:t>
            </m:r>
          </m:sub>
          <m:sup>
            <m:r>
              <w:rPr>
                <w:rFonts w:ascii="Cambria Math" w:hAnsi="Cambria Math"/>
              </w:rPr>
              <m:t xml:space="preserve">j</m:t>
            </m:r>
          </m:sup>
        </m:sSubSup>
      </m:oMath>
      <w:r>
        <w:rPr>
          <w:sz w:val="24"/>
          <w:szCs w:val="24"/>
        </w:rPr>
        <w:t xml:space="preserve"> – </w:t>
      </w:r>
      <w:r>
        <w:rPr>
          <w:sz w:val="24"/>
          <w:szCs w:val="24"/>
        </w:rPr>
        <w:t>плановое ремонтное снижение мощности по модернизируемым генерирующим объектом вне установленных сроков;</w:t>
      </w:r>
    </w:p>
    <w:p>
      <w:pPr>
        <w:pStyle w:val="Normal"/>
        <w:spacing w:lineRule="auto" w:line="276" w:before="20" w:after="20"/>
        <w:ind w:firstLine="709"/>
        <w:jc w:val="both"/>
        <w:rPr>
          <w:sz w:val="24"/>
          <w:szCs w:val="24"/>
        </w:rPr>
      </w:pPr>
      <w:r>
        <w:rPr/>
        <w:drawing>
          <wp:inline distT="0" distB="0" distL="0" distR="0">
            <wp:extent cx="545465" cy="273050"/>
            <wp:effectExtent l="0" t="0" r="0" b="0"/>
            <wp:docPr id="2"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3" descr=""/>
                    <pic:cNvPicPr>
                      <a:picLocks noChangeAspect="1" noChangeArrowheads="1"/>
                    </pic:cNvPicPr>
                  </pic:nvPicPr>
                  <pic:blipFill>
                    <a:blip r:embed="rId7"/>
                    <a:stretch>
                      <a:fillRect/>
                    </a:stretch>
                  </pic:blipFill>
                  <pic:spPr bwMode="auto">
                    <a:xfrm>
                      <a:off x="0" y="0"/>
                      <a:ext cx="545465" cy="273050"/>
                    </a:xfrm>
                    <a:prstGeom prst="rect">
                      <a:avLst/>
                    </a:prstGeom>
                  </pic:spPr>
                </pic:pic>
              </a:graphicData>
            </a:graphic>
          </wp:inline>
        </w:drawing>
      </w:r>
      <w:r>
        <w:rPr>
          <w:sz w:val="24"/>
          <w:szCs w:val="24"/>
        </w:rPr>
        <w:t xml:space="preserve"> – </w:t>
      </w:r>
      <w:r>
        <w:rPr>
          <w:sz w:val="24"/>
          <w:szCs w:val="24"/>
        </w:rPr>
        <w:t>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для часов с порядковыми номерами от 120;</w:t>
      </w:r>
    </w:p>
    <w:p>
      <w:pPr>
        <w:pStyle w:val="Normal"/>
        <w:spacing w:lineRule="auto" w:line="276" w:before="20" w:after="20"/>
        <w:ind w:firstLine="709"/>
        <w:jc w:val="both"/>
        <w:rPr>
          <w:sz w:val="24"/>
          <w:szCs w:val="24"/>
        </w:rPr>
      </w:pPr>
      <w:r>
        <w:rPr/>
        <w:drawing>
          <wp:inline distT="0" distB="0" distL="0" distR="0">
            <wp:extent cx="524510" cy="266065"/>
            <wp:effectExtent l="0" t="0" r="0" b="0"/>
            <wp:docPr id="3" name="Изображение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4" descr=""/>
                    <pic:cNvPicPr>
                      <a:picLocks noChangeAspect="1" noChangeArrowheads="1"/>
                    </pic:cNvPicPr>
                  </pic:nvPicPr>
                  <pic:blipFill>
                    <a:blip r:embed="rId8"/>
                    <a:stretch>
                      <a:fillRect/>
                    </a:stretch>
                  </pic:blipFill>
                  <pic:spPr bwMode="auto">
                    <a:xfrm>
                      <a:off x="0" y="0"/>
                      <a:ext cx="524510" cy="266065"/>
                    </a:xfrm>
                    <a:prstGeom prst="rect">
                      <a:avLst/>
                    </a:prstGeom>
                  </pic:spPr>
                </pic:pic>
              </a:graphicData>
            </a:graphic>
          </wp:inline>
        </w:drawing>
      </w:r>
      <w:r>
        <w:rPr>
          <w:sz w:val="24"/>
          <w:szCs w:val="24"/>
        </w:rPr>
        <w:t xml:space="preserve"> – </w:t>
      </w:r>
      <w:r>
        <w:rPr>
          <w:sz w:val="24"/>
          <w:szCs w:val="24"/>
        </w:rPr>
        <w:t>заявленное в уведомлении о составе и параметрах оборудования, поданного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pPr>
        <w:pStyle w:val="Normal"/>
        <w:spacing w:lineRule="auto" w:line="276" w:before="20" w:after="20"/>
        <w:ind w:firstLine="709"/>
        <w:jc w:val="both"/>
        <w:rPr>
          <w:sz w:val="24"/>
          <w:szCs w:val="24"/>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m:rPr>
                    <m:lit/>
                    <m:nor/>
                  </m:rPr>
                  <w:rPr>
                    <w:rFonts w:ascii="Cambria Math" w:hAnsi="Cambria Math"/>
                  </w:rPr>
                  <m:t xml:space="preserve">2_max,</m:t>
                </m:r>
                <m:r>
                  <w:rPr>
                    <w:rFonts w:ascii="Cambria Math" w:hAnsi="Cambria Math"/>
                  </w:rPr>
                  <m:t xml:space="preserve">h</m:t>
                </m:r>
              </m:sub>
              <m:sup>
                <m:r>
                  <w:rPr>
                    <w:rFonts w:ascii="Cambria Math" w:hAnsi="Cambria Math"/>
                  </w:rPr>
                  <m:t xml:space="preserve">1</m:t>
                </m:r>
                <m:d>
                  <m:dPr>
                    <m:begChr m:val="("/>
                    <m:endChr m:val=")"/>
                  </m:dPr>
                  <m:e>
                    <m:r>
                      <m:rPr>
                        <m:lit/>
                        <m:nor/>
                      </m:rPr>
                      <w:rPr>
                        <w:rFonts w:ascii="Cambria Math" w:hAnsi="Cambria Math"/>
                      </w:rPr>
                      <m:t xml:space="preserve">120</m:t>
                    </m:r>
                  </m:e>
                </m:d>
              </m:sup>
            </m:sSubSup>
          </m:sup>
        </m:sSup>
      </m:oMath>
      <w:r>
        <w:rPr>
          <w:sz w:val="24"/>
          <w:szCs w:val="24"/>
        </w:rPr>
        <w:t xml:space="preserve"> – </w:t>
      </w:r>
      <w:r>
        <w:rPr>
          <w:sz w:val="24"/>
          <w:szCs w:val="24"/>
        </w:rPr>
        <w:t>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в уведомлении о составе и параметрах оборудования, поданном в отношении суток Х+2 (уведомление ВСВГО), для часов с порядковыми номерами от 1 до 120;</w:t>
      </w:r>
    </w:p>
    <w:p>
      <w:pPr>
        <w:pStyle w:val="Normal"/>
        <w:spacing w:lineRule="auto" w:line="276" w:before="20" w:after="20"/>
        <w:ind w:firstLine="709"/>
        <w:jc w:val="both"/>
        <w:rPr>
          <w:sz w:val="24"/>
          <w:szCs w:val="24"/>
        </w:rPr>
      </w:pPr>
      <w:r>
        <w:rPr/>
        <w:drawing>
          <wp:inline distT="0" distB="0" distL="0" distR="0">
            <wp:extent cx="532130" cy="272415"/>
            <wp:effectExtent l="0" t="0" r="0" b="0"/>
            <wp:docPr id="4"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5" descr=""/>
                    <pic:cNvPicPr>
                      <a:picLocks noChangeAspect="1" noChangeArrowheads="1"/>
                    </pic:cNvPicPr>
                  </pic:nvPicPr>
                  <pic:blipFill>
                    <a:blip r:embed="rId9"/>
                    <a:stretch>
                      <a:fillRect/>
                    </a:stretch>
                  </pic:blipFill>
                  <pic:spPr bwMode="auto">
                    <a:xfrm>
                      <a:off x="0" y="0"/>
                      <a:ext cx="532130" cy="272415"/>
                    </a:xfrm>
                    <a:prstGeom prst="rect">
                      <a:avLst/>
                    </a:prstGeom>
                  </pic:spPr>
                </pic:pic>
              </a:graphicData>
            </a:graphic>
          </wp:inline>
        </w:drawing>
      </w:r>
      <w:r>
        <w:rPr>
          <w:sz w:val="24"/>
          <w:szCs w:val="24"/>
        </w:rPr>
        <w:t xml:space="preserve"> – </w:t>
      </w:r>
      <w:r>
        <w:rPr>
          <w:sz w:val="24"/>
          <w:szCs w:val="24"/>
        </w:rPr>
        <w:t xml:space="preserve">снижение мощности ГТП генерации фиксируемое на основании данных, заявляемых участником ОРЭ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Х-1) (уведомлениях РСВ) в уведомлении о составе и параметрах оборудования и разрешенных внеплановых заявках на снижение максимальной мощности; </w:t>
      </w:r>
    </w:p>
    <w:p>
      <w:pPr>
        <w:pStyle w:val="Normal"/>
        <w:spacing w:lineRule="auto" w:line="276" w:before="20" w:after="20"/>
        <w:ind w:firstLine="709"/>
        <w:jc w:val="both"/>
        <w:rPr>
          <w:sz w:val="24"/>
          <w:szCs w:val="24"/>
        </w:rPr>
      </w:pPr>
      <w:r>
        <w:rPr/>
        <w:drawing>
          <wp:inline distT="0" distB="0" distL="0" distR="0">
            <wp:extent cx="526415" cy="262890"/>
            <wp:effectExtent l="0" t="0" r="0" b="0"/>
            <wp:docPr id="5" name="Изображение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6" descr=""/>
                    <pic:cNvPicPr>
                      <a:picLocks noChangeAspect="1" noChangeArrowheads="1"/>
                    </pic:cNvPicPr>
                  </pic:nvPicPr>
                  <pic:blipFill>
                    <a:blip r:embed="rId10"/>
                    <a:stretch>
                      <a:fillRect/>
                    </a:stretch>
                  </pic:blipFill>
                  <pic:spPr bwMode="auto">
                    <a:xfrm>
                      <a:off x="0" y="0"/>
                      <a:ext cx="526415" cy="262890"/>
                    </a:xfrm>
                    <a:prstGeom prst="rect">
                      <a:avLst/>
                    </a:prstGeom>
                  </pic:spPr>
                </pic:pic>
              </a:graphicData>
            </a:graphic>
          </wp:inline>
        </w:drawing>
      </w:r>
      <w:r>
        <w:rPr>
          <w:sz w:val="24"/>
          <w:szCs w:val="24"/>
        </w:rPr>
        <w:t xml:space="preserve"> – </w:t>
      </w:r>
      <w:r>
        <w:rPr>
          <w:sz w:val="24"/>
          <w:szCs w:val="24"/>
        </w:rPr>
        <w:t>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Х-1),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pPr>
        <w:pStyle w:val="Normal"/>
        <w:spacing w:lineRule="auto" w:line="276" w:before="20" w:after="20"/>
        <w:ind w:firstLine="709"/>
        <w:jc w:val="both"/>
        <w:rPr>
          <w:sz w:val="24"/>
          <w:szCs w:val="24"/>
        </w:rPr>
      </w:pPr>
      <w:r>
        <w:rPr/>
        <w:drawing>
          <wp:inline distT="0" distB="0" distL="0" distR="0">
            <wp:extent cx="620395" cy="320040"/>
            <wp:effectExtent l="0" t="0" r="0" b="0"/>
            <wp:docPr id="6" name="Изображение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7" descr=""/>
                    <pic:cNvPicPr>
                      <a:picLocks noChangeAspect="1" noChangeArrowheads="1"/>
                    </pic:cNvPicPr>
                  </pic:nvPicPr>
                  <pic:blipFill>
                    <a:blip r:embed="rId11"/>
                    <a:stretch>
                      <a:fillRect/>
                    </a:stretch>
                  </pic:blipFill>
                  <pic:spPr bwMode="auto">
                    <a:xfrm>
                      <a:off x="0" y="0"/>
                      <a:ext cx="620395" cy="320040"/>
                    </a:xfrm>
                    <a:prstGeom prst="rect">
                      <a:avLst/>
                    </a:prstGeom>
                  </pic:spPr>
                </pic:pic>
              </a:graphicData>
            </a:graphic>
          </wp:inline>
        </w:drawing>
      </w:r>
      <w:r>
        <w:rPr>
          <w:sz w:val="24"/>
          <w:szCs w:val="24"/>
        </w:rPr>
        <w:t xml:space="preserve"> – </w:t>
      </w:r>
      <w:r>
        <w:rPr>
          <w:sz w:val="24"/>
          <w:szCs w:val="24"/>
        </w:rPr>
        <w:t>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для входящей в состав Дальневосточного федерального округа отдельной территории, ранее относившейся к неценовым зонам, – с 3 часов 00 минут московского времени (10 часов 00 минут хабаровского времени) суток Х-1), до часа (n-4) суток Х;</w:t>
      </w:r>
    </w:p>
    <w:p>
      <w:pPr>
        <w:pStyle w:val="Normal"/>
        <w:spacing w:lineRule="auto" w:line="276" w:before="20" w:after="20"/>
        <w:ind w:firstLine="709"/>
        <w:jc w:val="both"/>
        <w:rPr>
          <w:sz w:val="24"/>
          <w:szCs w:val="24"/>
        </w:rPr>
      </w:pPr>
      <w:r>
        <w:rPr/>
        <w:drawing>
          <wp:inline distT="0" distB="0" distL="0" distR="0">
            <wp:extent cx="526415" cy="262890"/>
            <wp:effectExtent l="0" t="0" r="0" b="0"/>
            <wp:docPr id="7" name="Изображение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8" descr=""/>
                    <pic:cNvPicPr>
                      <a:picLocks noChangeAspect="1" noChangeArrowheads="1"/>
                    </pic:cNvPicPr>
                  </pic:nvPicPr>
                  <pic:blipFill>
                    <a:blip r:embed="rId12"/>
                    <a:stretch>
                      <a:fillRect/>
                    </a:stretch>
                  </pic:blipFill>
                  <pic:spPr bwMode="auto">
                    <a:xfrm>
                      <a:off x="0" y="0"/>
                      <a:ext cx="526415" cy="262890"/>
                    </a:xfrm>
                    <a:prstGeom prst="rect">
                      <a:avLst/>
                    </a:prstGeom>
                  </pic:spPr>
                </pic:pic>
              </a:graphicData>
            </a:graphic>
          </wp:inline>
        </w:drawing>
      </w:r>
      <w:r>
        <w:rPr>
          <w:sz w:val="24"/>
          <w:szCs w:val="24"/>
        </w:rPr>
        <w:t xml:space="preserve"> – </w:t>
      </w:r>
      <w:r>
        <w:rPr>
          <w:sz w:val="24"/>
          <w:szCs w:val="24"/>
        </w:rPr>
        <w:t>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для входящей в состав Дальневосточного федерального округа отдельной территории, ранее относившейся к неценовым зонам, – с 3 часов 00 минут московского времени (10 часов 00 минут хабаровского времени) суток Х-1), до часа (n-4) суток Х;</w:t>
      </w:r>
    </w:p>
    <w:p>
      <w:pPr>
        <w:pStyle w:val="Normal"/>
        <w:spacing w:lineRule="auto" w:line="276" w:before="20" w:after="20"/>
        <w:ind w:firstLine="709"/>
        <w:jc w:val="both"/>
        <w:rPr>
          <w:sz w:val="24"/>
          <w:szCs w:val="24"/>
        </w:rPr>
      </w:pPr>
      <w:r>
        <w:rPr/>
        <w:drawing>
          <wp:inline distT="0" distB="0" distL="0" distR="0">
            <wp:extent cx="511810" cy="241300"/>
            <wp:effectExtent l="0" t="0" r="0" b="0"/>
            <wp:docPr id="8" name="Изображение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9" descr=""/>
                    <pic:cNvPicPr>
                      <a:picLocks noChangeAspect="1" noChangeArrowheads="1"/>
                    </pic:cNvPicPr>
                  </pic:nvPicPr>
                  <pic:blipFill>
                    <a:blip r:embed="rId13"/>
                    <a:stretch>
                      <a:fillRect/>
                    </a:stretch>
                  </pic:blipFill>
                  <pic:spPr bwMode="auto">
                    <a:xfrm>
                      <a:off x="0" y="0"/>
                      <a:ext cx="511810" cy="241300"/>
                    </a:xfrm>
                    <a:prstGeom prst="rect">
                      <a:avLst/>
                    </a:prstGeom>
                  </pic:spPr>
                </pic:pic>
              </a:graphicData>
            </a:graphic>
          </wp:inline>
        </w:drawing>
      </w:r>
      <w:r>
        <w:rPr>
          <w:sz w:val="24"/>
          <w:szCs w:val="24"/>
        </w:rPr>
        <w:t xml:space="preserve"> – </w:t>
      </w:r>
      <w:r>
        <w:rPr>
          <w:sz w:val="24"/>
          <w:szCs w:val="24"/>
        </w:rPr>
        <w:t>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pPr>
        <w:pStyle w:val="Normal"/>
        <w:spacing w:lineRule="auto" w:line="276" w:before="20" w:after="20"/>
        <w:ind w:firstLine="709"/>
        <w:jc w:val="both"/>
        <w:rPr>
          <w:sz w:val="24"/>
          <w:szCs w:val="24"/>
        </w:rPr>
      </w:pPr>
      <w:r>
        <w:rPr/>
        <w:drawing>
          <wp:inline distT="0" distB="0" distL="0" distR="0">
            <wp:extent cx="497205" cy="240665"/>
            <wp:effectExtent l="0" t="0" r="0" b="0"/>
            <wp:docPr id="9" name="Изображение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10" descr=""/>
                    <pic:cNvPicPr>
                      <a:picLocks noChangeAspect="1" noChangeArrowheads="1"/>
                    </pic:cNvPicPr>
                  </pic:nvPicPr>
                  <pic:blipFill>
                    <a:blip r:embed="rId14"/>
                    <a:stretch>
                      <a:fillRect/>
                    </a:stretch>
                  </pic:blipFill>
                  <pic:spPr bwMode="auto">
                    <a:xfrm>
                      <a:off x="0" y="0"/>
                      <a:ext cx="497205" cy="240665"/>
                    </a:xfrm>
                    <a:prstGeom prst="rect">
                      <a:avLst/>
                    </a:prstGeom>
                  </pic:spPr>
                </pic:pic>
              </a:graphicData>
            </a:graphic>
          </wp:inline>
        </w:drawing>
      </w:r>
      <w:r>
        <w:rPr>
          <w:sz w:val="24"/>
          <w:szCs w:val="24"/>
        </w:rPr>
        <w:t xml:space="preserve"> – </w:t>
      </w:r>
      <w:r>
        <w:rPr>
          <w:sz w:val="24"/>
          <w:szCs w:val="24"/>
        </w:rPr>
        <w:t>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pPr>
        <w:pStyle w:val="Normal"/>
        <w:spacing w:lineRule="auto" w:line="276" w:before="20" w:after="20"/>
        <w:ind w:firstLine="709"/>
        <w:jc w:val="both"/>
        <w:rPr>
          <w:sz w:val="24"/>
          <w:szCs w:val="24"/>
        </w:rPr>
      </w:pPr>
      <w:r>
        <w:rPr/>
        <w:drawing>
          <wp:inline distT="0" distB="0" distL="0" distR="0">
            <wp:extent cx="914400" cy="285115"/>
            <wp:effectExtent l="0" t="0" r="0" b="0"/>
            <wp:docPr id="10" name="Изображение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11" descr=""/>
                    <pic:cNvPicPr>
                      <a:picLocks noChangeAspect="1" noChangeArrowheads="1"/>
                    </pic:cNvPicPr>
                  </pic:nvPicPr>
                  <pic:blipFill>
                    <a:blip r:embed="rId15"/>
                    <a:stretch>
                      <a:fillRect/>
                    </a:stretch>
                  </pic:blipFill>
                  <pic:spPr bwMode="auto">
                    <a:xfrm>
                      <a:off x="0" y="0"/>
                      <a:ext cx="914400" cy="285115"/>
                    </a:xfrm>
                    <a:prstGeom prst="rect">
                      <a:avLst/>
                    </a:prstGeom>
                  </pic:spPr>
                </pic:pic>
              </a:graphicData>
            </a:graphic>
          </wp:inline>
        </w:drawing>
      </w:r>
      <w:r>
        <w:rPr>
          <w:sz w:val="24"/>
          <w:szCs w:val="24"/>
        </w:rPr>
        <w:t xml:space="preserve"> – </w:t>
      </w:r>
      <w:r>
        <w:rPr>
          <w:sz w:val="24"/>
          <w:szCs w:val="24"/>
        </w:rPr>
        <w:t>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pPr>
        <w:pStyle w:val="Normal"/>
        <w:spacing w:lineRule="auto" w:line="276" w:before="20" w:after="20"/>
        <w:ind w:firstLine="709"/>
        <w:jc w:val="both"/>
        <w:rPr>
          <w:sz w:val="24"/>
          <w:szCs w:val="24"/>
        </w:rPr>
      </w:pPr>
      <w:r>
        <w:rPr/>
        <w:drawing>
          <wp:inline distT="0" distB="0" distL="0" distR="0">
            <wp:extent cx="1052830" cy="357505"/>
            <wp:effectExtent l="0" t="0" r="0" b="0"/>
            <wp:docPr id="11" name="Изображение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12" descr=""/>
                    <pic:cNvPicPr>
                      <a:picLocks noChangeAspect="1" noChangeArrowheads="1"/>
                    </pic:cNvPicPr>
                  </pic:nvPicPr>
                  <pic:blipFill>
                    <a:blip r:embed="rId16"/>
                    <a:stretch>
                      <a:fillRect/>
                    </a:stretch>
                  </pic:blipFill>
                  <pic:spPr bwMode="auto">
                    <a:xfrm>
                      <a:off x="0" y="0"/>
                      <a:ext cx="1052830" cy="357505"/>
                    </a:xfrm>
                    <a:prstGeom prst="rect">
                      <a:avLst/>
                    </a:prstGeom>
                  </pic:spPr>
                </pic:pic>
              </a:graphicData>
            </a:graphic>
          </wp:inline>
        </w:drawing>
      </w:r>
      <w:r>
        <w:rPr>
          <w:sz w:val="24"/>
          <w:szCs w:val="24"/>
        </w:rPr>
        <w:t xml:space="preserve"> – </w:t>
      </w:r>
      <w:r>
        <w:rPr>
          <w:sz w:val="24"/>
          <w:szCs w:val="24"/>
        </w:rPr>
        <w:t>регистрируется при согласованном увеличении времени включения в сеть;</w:t>
      </w:r>
    </w:p>
    <w:p>
      <w:pPr>
        <w:pStyle w:val="Normal"/>
        <w:spacing w:lineRule="auto" w:line="276" w:before="20" w:after="20"/>
        <w:ind w:firstLine="709"/>
        <w:jc w:val="both"/>
        <w:rPr>
          <w:sz w:val="24"/>
          <w:szCs w:val="24"/>
        </w:rPr>
      </w:pPr>
      <w:r>
        <w:rPr/>
        <w:drawing>
          <wp:inline distT="0" distB="0" distL="0" distR="0">
            <wp:extent cx="958215" cy="313690"/>
            <wp:effectExtent l="0" t="0" r="0" b="0"/>
            <wp:docPr id="12" name="Изображение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13" descr=""/>
                    <pic:cNvPicPr>
                      <a:picLocks noChangeAspect="1" noChangeArrowheads="1"/>
                    </pic:cNvPicPr>
                  </pic:nvPicPr>
                  <pic:blipFill>
                    <a:blip r:embed="rId17"/>
                    <a:stretch>
                      <a:fillRect/>
                    </a:stretch>
                  </pic:blipFill>
                  <pic:spPr bwMode="auto">
                    <a:xfrm>
                      <a:off x="0" y="0"/>
                      <a:ext cx="958215" cy="313690"/>
                    </a:xfrm>
                    <a:prstGeom prst="rect">
                      <a:avLst/>
                    </a:prstGeom>
                  </pic:spPr>
                </pic:pic>
              </a:graphicData>
            </a:graphic>
          </wp:inline>
        </w:drawing>
      </w:r>
      <w:r>
        <w:rPr>
          <w:sz w:val="24"/>
          <w:szCs w:val="24"/>
        </w:rPr>
        <w:t xml:space="preserve"> – </w:t>
      </w:r>
      <w:r>
        <w:rPr>
          <w:sz w:val="24"/>
          <w:szCs w:val="24"/>
        </w:rPr>
        <w:t>регистрируется при фактическом включении в сеть генерирующего оборудования со временем, превышающим время нормативного включения в сеть;</w:t>
      </w:r>
    </w:p>
    <w:p>
      <w:pPr>
        <w:pStyle w:val="Normal"/>
        <w:spacing w:before="20" w:after="20"/>
        <w:ind w:firstLine="709"/>
        <w:rPr>
          <w:sz w:val="24"/>
          <w:szCs w:val="24"/>
        </w:rPr>
      </w:pPr>
      <w:r>
        <w:rPr/>
        <w:drawing>
          <wp:inline distT="0" distB="0" distL="0" distR="0">
            <wp:extent cx="368300" cy="285750"/>
            <wp:effectExtent l="0" t="0" r="0" b="0"/>
            <wp:docPr id="13" name="Изображение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14" descr=""/>
                    <pic:cNvPicPr>
                      <a:picLocks noChangeAspect="1" noChangeArrowheads="1"/>
                    </pic:cNvPicPr>
                  </pic:nvPicPr>
                  <pic:blipFill>
                    <a:blip r:embed="rId18"/>
                    <a:stretch>
                      <a:fillRect/>
                    </a:stretch>
                  </pic:blipFill>
                  <pic:spPr bwMode="auto">
                    <a:xfrm>
                      <a:off x="0" y="0"/>
                      <a:ext cx="368300" cy="285750"/>
                    </a:xfrm>
                    <a:prstGeom prst="rect">
                      <a:avLst/>
                    </a:prstGeom>
                  </pic:spPr>
                </pic:pic>
              </a:graphicData>
            </a:graphic>
          </wp:inline>
        </w:drawing>
      </w:r>
      <w:r>
        <w:rPr>
          <w:sz w:val="24"/>
          <w:szCs w:val="24"/>
        </w:rPr>
        <w:t xml:space="preserve"> – </w:t>
      </w:r>
      <w:r>
        <w:rPr>
          <w:sz w:val="24"/>
          <w:szCs w:val="24"/>
        </w:rPr>
        <w:t>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pPr>
        <w:pStyle w:val="Normal"/>
        <w:spacing w:before="120" w:after="20"/>
        <w:ind w:firstLine="709"/>
        <w:rPr>
          <w:sz w:val="24"/>
          <w:szCs w:val="24"/>
        </w:rPr>
      </w:pPr>
      <w:r>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Pr/>
        <w:drawing>
          <wp:inline distT="0" distB="0" distL="0" distR="0">
            <wp:extent cx="336550" cy="267335"/>
            <wp:effectExtent l="0" t="0" r="0" b="0"/>
            <wp:docPr id="14" name="Рисунок 13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3 Копия 1" descr=""/>
                    <pic:cNvPicPr>
                      <a:picLocks noChangeAspect="1" noChangeArrowheads="1"/>
                    </pic:cNvPicPr>
                  </pic:nvPicPr>
                  <pic:blipFill>
                    <a:blip r:embed="rId19"/>
                    <a:stretch>
                      <a:fillRect/>
                    </a:stretch>
                  </pic:blipFill>
                  <pic:spPr bwMode="auto">
                    <a:xfrm>
                      <a:off x="0" y="0"/>
                      <a:ext cx="336550" cy="267335"/>
                    </a:xfrm>
                    <a:prstGeom prst="rect">
                      <a:avLst/>
                    </a:prstGeom>
                  </pic:spPr>
                </pic:pic>
              </a:graphicData>
            </a:graphic>
          </wp:inline>
        </w:drawing>
      </w:r>
      <w:r>
        <w:rPr>
          <w:sz w:val="24"/>
          <w:szCs w:val="24"/>
        </w:rPr>
        <w:t>, соответствующие объемам невыполнения требований в месяце, определяется по формуле:</w:t>
      </w:r>
    </w:p>
    <w:p>
      <w:pPr>
        <w:pStyle w:val="Normal"/>
        <w:spacing w:before="20" w:after="20"/>
        <w:jc w:val="center"/>
        <w:rPr>
          <w:sz w:val="24"/>
          <w:szCs w:val="24"/>
        </w:rPr>
      </w:pPr>
      <w:r>
        <w:rPr/>
        <w:drawing>
          <wp:inline distT="0" distB="0" distL="0" distR="0">
            <wp:extent cx="1371600" cy="673100"/>
            <wp:effectExtent l="0" t="0" r="0" b="0"/>
            <wp:docPr id="15" name="Рисунок 12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2 Копия 1" descr=""/>
                    <pic:cNvPicPr>
                      <a:picLocks noChangeAspect="1" noChangeArrowheads="1"/>
                    </pic:cNvPicPr>
                  </pic:nvPicPr>
                  <pic:blipFill>
                    <a:blip r:embed="rId20"/>
                    <a:stretch>
                      <a:fillRect/>
                    </a:stretch>
                  </pic:blipFill>
                  <pic:spPr bwMode="auto">
                    <a:xfrm>
                      <a:off x="0" y="0"/>
                      <a:ext cx="1371600" cy="673100"/>
                    </a:xfrm>
                    <a:prstGeom prst="rect">
                      <a:avLst/>
                    </a:prstGeom>
                  </pic:spPr>
                </pic:pic>
              </a:graphicData>
            </a:graphic>
          </wp:inline>
        </w:drawing>
      </w:r>
    </w:p>
    <w:p>
      <w:pPr>
        <w:pStyle w:val="Normal"/>
        <w:spacing w:before="20" w:after="20"/>
        <w:ind w:firstLine="709"/>
        <w:rPr>
          <w:sz w:val="24"/>
          <w:szCs w:val="24"/>
        </w:rPr>
      </w:pPr>
      <w:r>
        <w:rPr>
          <w:sz w:val="24"/>
          <w:szCs w:val="24"/>
        </w:rPr>
        <w:t>где:</w:t>
      </w:r>
    </w:p>
    <w:p>
      <w:pPr>
        <w:pStyle w:val="Normal"/>
        <w:spacing w:before="20" w:after="20"/>
        <w:ind w:firstLine="709"/>
        <w:rPr>
          <w:sz w:val="24"/>
          <w:szCs w:val="24"/>
        </w:rPr>
      </w:pPr>
      <w:r>
        <w:rPr/>
        <w:drawing>
          <wp:inline distT="0" distB="0" distL="0" distR="0">
            <wp:extent cx="293370" cy="267335"/>
            <wp:effectExtent l="0" t="0" r="0" b="0"/>
            <wp:docPr id="16" name="Рисунок 11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1 Копия 1" descr=""/>
                    <pic:cNvPicPr>
                      <a:picLocks noChangeAspect="1" noChangeArrowheads="1"/>
                    </pic:cNvPicPr>
                  </pic:nvPicPr>
                  <pic:blipFill>
                    <a:blip r:embed="rId21"/>
                    <a:stretch>
                      <a:fillRect/>
                    </a:stretch>
                  </pic:blipFill>
                  <pic:spPr bwMode="auto">
                    <a:xfrm>
                      <a:off x="0" y="0"/>
                      <a:ext cx="293370" cy="267335"/>
                    </a:xfrm>
                    <a:prstGeom prst="rect">
                      <a:avLst/>
                    </a:prstGeom>
                  </pic:spPr>
                </pic:pic>
              </a:graphicData>
            </a:graphic>
          </wp:inline>
        </w:drawing>
      </w:r>
      <w:r>
        <w:rPr>
          <w:sz w:val="24"/>
          <w:szCs w:val="24"/>
        </w:rPr>
        <w:t xml:space="preserve"> – </w:t>
      </w:r>
      <w:r>
        <w:rPr>
          <w:sz w:val="24"/>
          <w:szCs w:val="24"/>
        </w:rPr>
        <w:t>значения снижения мощности ГТПГ, установленные СО в ГРМ;</w:t>
      </w:r>
    </w:p>
    <w:p>
      <w:pPr>
        <w:pStyle w:val="Normal"/>
        <w:spacing w:before="20" w:after="20"/>
        <w:ind w:firstLine="709"/>
        <w:rPr>
          <w:sz w:val="24"/>
          <w:szCs w:val="24"/>
        </w:rPr>
      </w:pPr>
      <w:r>
        <w:rPr>
          <w:sz w:val="24"/>
          <w:szCs w:val="24"/>
        </w:rPr>
        <w:t xml:space="preserve">Н – количество часов, соответствующее расчетному месяцу m. </w:t>
      </w:r>
    </w:p>
    <w:p>
      <w:pPr>
        <w:pStyle w:val="Normal"/>
        <w:spacing w:before="20" w:after="20"/>
        <w:ind w:firstLine="709"/>
        <w:rPr>
          <w:sz w:val="24"/>
          <w:szCs w:val="24"/>
        </w:rPr>
      </w:pPr>
      <w:r>
        <w:rPr>
          <w:sz w:val="24"/>
          <w:szCs w:val="24"/>
        </w:rPr>
      </w:r>
    </w:p>
    <w:p>
      <w:pPr>
        <w:pStyle w:val="Normal"/>
        <w:spacing w:before="20" w:after="20"/>
        <w:ind w:firstLine="709"/>
        <w:rPr>
          <w:sz w:val="24"/>
          <w:szCs w:val="24"/>
        </w:rPr>
      </w:pPr>
      <w:r>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pPr>
        <w:pStyle w:val="Normal"/>
        <w:spacing w:before="120" w:after="20"/>
        <w:ind w:firstLine="709"/>
        <w:rPr>
          <w:sz w:val="24"/>
          <w:szCs w:val="24"/>
        </w:rPr>
      </w:pPr>
      <w:r>
        <w:rPr>
          <w:sz w:val="24"/>
          <w:szCs w:val="24"/>
        </w:rPr>
        <w:t>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
    <w:p>
      <w:pPr>
        <w:pStyle w:val="Normal"/>
        <w:spacing w:before="20" w:after="20"/>
        <w:ind w:firstLine="709"/>
        <w:rPr>
          <w:sz w:val="24"/>
          <w:szCs w:val="24"/>
        </w:rPr>
      </w:pPr>
      <w:r>
        <w:rPr>
          <w:sz w:val="24"/>
          <w:szCs w:val="24"/>
        </w:rPr>
      </w:r>
    </w:p>
    <w:p>
      <w:pPr>
        <w:pStyle w:val="Normal"/>
        <w:spacing w:before="20" w:after="20"/>
        <w:ind w:firstLine="709"/>
        <w:jc w:val="center"/>
        <w:rPr>
          <w:sz w:val="24"/>
          <w:szCs w:val="24"/>
        </w:rPr>
      </w:pPr>
      <w:r>
        <w:rPr/>
      </w:r>
      <m:oMathPara xmlns:m="http://schemas.openxmlformats.org/officeDocument/2006/math">
        <m:oMathParaPr>
          <m:jc m:val="center"/>
        </m:oMathParaPr>
        <m:oMath>
          <m:sSub>
            <m:e>
              <m:r>
                <w:rPr>
                  <w:rFonts w:ascii="Cambria Math" w:hAnsi="Cambria Math"/>
                </w:rPr>
                <m:t xml:space="preserve">k</m:t>
              </m:r>
            </m:e>
            <m:sub>
              <m:r>
                <w:rPr>
                  <w:rFonts w:ascii="Cambria Math" w:hAnsi="Cambria Math"/>
                </w:rPr>
                <m:t xml:space="preserve">Α</m:t>
              </m:r>
              <m:r>
                <w:rPr>
                  <w:rFonts w:ascii="Cambria Math" w:hAnsi="Cambria Math"/>
                </w:rPr>
                <m:t xml:space="preserve">2</m:t>
              </m:r>
            </m:sub>
          </m:sSub>
          <m:sSub>
            <m:e>
              <m:r>
                <w:rPr>
                  <w:rFonts w:ascii="Cambria Math" w:hAnsi="Cambria Math"/>
                </w:rPr>
                <m:t xml:space="preserve">k</m:t>
              </m:r>
            </m:e>
            <m:sub>
              <m:r>
                <w:rPr>
                  <w:rFonts w:ascii="Cambria Math" w:hAnsi="Cambria Math"/>
                </w:rPr>
                <m:t xml:space="preserve">Α</m:t>
              </m:r>
              <m:r>
                <w:rPr>
                  <w:rFonts w:ascii="Cambria Math" w:hAnsi="Cambria Math"/>
                </w:rPr>
                <m:t xml:space="preserve">3</m:t>
              </m:r>
            </m:sub>
          </m:sSub>
          <m:sSub>
            <m:e>
              <m:r>
                <w:rPr>
                  <w:rFonts w:ascii="Cambria Math" w:hAnsi="Cambria Math"/>
                </w:rPr>
                <m:t xml:space="preserve">k</m:t>
              </m:r>
            </m:e>
            <m:sub>
              <m:r>
                <m:rPr>
                  <m:lit/>
                  <m:nor/>
                </m:rPr>
                <w:rPr>
                  <w:rFonts w:ascii="Cambria Math" w:hAnsi="Cambria Math"/>
                </w:rPr>
                <m:t xml:space="preserve">Б1</m:t>
              </m:r>
            </m:sub>
          </m:sSub>
          <m:sSub>
            <m:e>
              <m:r>
                <w:rPr>
                  <w:rFonts w:ascii="Cambria Math" w:hAnsi="Cambria Math"/>
                </w:rPr>
                <m:t xml:space="preserve">k</m:t>
              </m:r>
            </m:e>
            <m:sub>
              <m:r>
                <m:rPr>
                  <m:lit/>
                  <m:nor/>
                </m:rPr>
                <w:rPr>
                  <w:rFonts w:ascii="Cambria Math" w:hAnsi="Cambria Math"/>
                </w:rPr>
                <m:t xml:space="preserve">Б2</m:t>
              </m:r>
            </m:sub>
          </m:sSub>
          <m:sSub>
            <m:e>
              <m:r>
                <w:rPr>
                  <w:rFonts w:ascii="Cambria Math" w:hAnsi="Cambria Math"/>
                </w:rPr>
                <m:t xml:space="preserve">k</m:t>
              </m:r>
            </m:e>
            <m:sub>
              <m:r>
                <m:rPr>
                  <m:lit/>
                  <m:nor/>
                </m:rPr>
                <w:rPr>
                  <w:rFonts w:ascii="Cambria Math" w:hAnsi="Cambria Math"/>
                </w:rPr>
                <m:t xml:space="preserve">В2</m:t>
              </m:r>
            </m:sub>
          </m:sSub>
          <m:sSub>
            <m:e>
              <m:r>
                <w:rPr>
                  <w:rFonts w:ascii="Cambria Math" w:hAnsi="Cambria Math"/>
                </w:rPr>
                <m:t xml:space="preserve">k</m:t>
              </m:r>
            </m:e>
            <m:sub>
              <m:r>
                <m:rPr>
                  <m:lit/>
                  <m:nor/>
                </m:rPr>
                <w:rPr>
                  <w:rFonts w:ascii="Cambria Math" w:hAnsi="Cambria Math"/>
                </w:rPr>
                <m:t xml:space="preserve">В3</m:t>
              </m:r>
            </m:sub>
          </m:sSub>
          <m:sSub>
            <m:e>
              <m:r>
                <w:rPr>
                  <w:rFonts w:ascii="Cambria Math" w:hAnsi="Cambria Math"/>
                </w:rPr>
                <m:t xml:space="preserve">k</m:t>
              </m:r>
            </m:e>
            <m:sub>
              <m:r>
                <m:rPr>
                  <m:lit/>
                  <m:nor/>
                </m:rPr>
                <w:rPr>
                  <w:rFonts w:ascii="Cambria Math" w:hAnsi="Cambria Math"/>
                </w:rPr>
                <m:t xml:space="preserve">Г1</m:t>
              </m:r>
            </m:sub>
          </m:sSub>
          <m:sSub>
            <m:e>
              <m:r>
                <w:rPr>
                  <w:rFonts w:ascii="Cambria Math" w:hAnsi="Cambria Math"/>
                </w:rPr>
                <m:t xml:space="preserve">k</m:t>
              </m:r>
            </m:e>
            <m:sub>
              <m:r>
                <m:rPr>
                  <m:lit/>
                  <m:nor/>
                </m:rPr>
                <w:rPr>
                  <w:rFonts w:ascii="Cambria Math" w:hAnsi="Cambria Math"/>
                </w:rPr>
                <m:t xml:space="preserve">Г2</m:t>
              </m:r>
            </m:sub>
          </m:sSub>
          <m:sSub>
            <m:e>
              <m:r>
                <w:rPr>
                  <w:rFonts w:ascii="Cambria Math" w:hAnsi="Cambria Math"/>
                </w:rPr>
                <m:t xml:space="preserve">k</m:t>
              </m:r>
            </m:e>
            <m:sub>
              <m:r>
                <m:rPr>
                  <m:lit/>
                  <m:nor/>
                </m:rPr>
                <w:rPr>
                  <w:rFonts w:ascii="Cambria Math" w:hAnsi="Cambria Math"/>
                </w:rPr>
                <m:t xml:space="preserve">Г3</m:t>
              </m:r>
            </m:sub>
          </m:sSub>
          <m:sSub>
            <m:e>
              <m:r>
                <w:rPr>
                  <w:rFonts w:ascii="Cambria Math" w:hAnsi="Cambria Math"/>
                </w:rPr>
                <m:t xml:space="preserve">k</m:t>
              </m:r>
            </m:e>
            <m:sub>
              <m:r>
                <w:rPr>
                  <w:rFonts w:ascii="Cambria Math" w:hAnsi="Cambria Math"/>
                </w:rPr>
                <m:t xml:space="preserve">Д</m:t>
              </m:r>
            </m:sub>
          </m:sSub>
          <m:sSub>
            <m:e>
              <m:r>
                <w:rPr>
                  <w:rFonts w:ascii="Cambria Math" w:hAnsi="Cambria Math"/>
                </w:rPr>
                <m:t xml:space="preserve">k</m:t>
              </m:r>
            </m:e>
            <m:sub>
              <m:r>
                <w:rPr>
                  <w:rFonts w:ascii="Cambria Math" w:hAnsi="Cambria Math"/>
                </w:rPr>
                <m:t xml:space="preserve">Е</m:t>
              </m:r>
            </m:sub>
          </m:sSub>
          <m:sSub>
            <m:e>
              <m:r>
                <w:rPr>
                  <w:rFonts w:ascii="Cambria Math" w:hAnsi="Cambria Math"/>
                </w:rPr>
                <m:t xml:space="preserve">k</m:t>
              </m:r>
            </m:e>
            <m:sub>
              <m:r>
                <w:rPr>
                  <w:rFonts w:ascii="Cambria Math" w:hAnsi="Cambria Math"/>
                </w:rPr>
                <m:t xml:space="preserve">Ж</m:t>
              </m:r>
            </m:sub>
          </m:sSub>
          <m:sSub>
            <m:e>
              <m:r>
                <w:rPr>
                  <w:rFonts w:ascii="Cambria Math" w:hAnsi="Cambria Math"/>
                </w:rPr>
                <m:t xml:space="preserve">k</m:t>
              </m:r>
            </m:e>
            <m:sub>
              <m:r>
                <w:rPr>
                  <w:rFonts w:ascii="Cambria Math" w:hAnsi="Cambria Math"/>
                </w:rPr>
                <m:t xml:space="preserve">З</m:t>
              </m:r>
            </m:sub>
          </m:sSub>
          <m:sSub>
            <m:e>
              <m:r>
                <w:rPr>
                  <w:rFonts w:ascii="Cambria Math" w:hAnsi="Cambria Math"/>
                </w:rPr>
                <m:t xml:space="preserve">k</m:t>
              </m:r>
            </m:e>
            <m:sub>
              <m:r>
                <w:rPr>
                  <w:rFonts w:ascii="Cambria Math" w:hAnsi="Cambria Math"/>
                </w:rPr>
                <m:t xml:space="preserve">И</m:t>
              </m:r>
            </m:sub>
          </m:sSub>
          <m:sSub>
            <m:e>
              <m:r>
                <m:rPr>
                  <m:lit/>
                  <m:nor/>
                </m:rPr>
                <w:rPr>
                  <w:rFonts w:ascii="Cambria Math" w:hAnsi="Cambria Math"/>
                </w:rPr>
                <m:t xml:space="preserve">ΔN</m:t>
              </m:r>
            </m:e>
            <m:sub>
              <m:sSubSup>
                <m:e>
                  <m:r>
                    <m:rPr>
                      <m:lit/>
                      <m:nor/>
                    </m:rPr>
                    <w:rPr>
                      <w:rFonts w:ascii="Cambria Math" w:hAnsi="Cambria Math"/>
                    </w:rPr>
                    <m:t xml:space="preserve">СП</m:t>
                  </m:r>
                </m:e>
                <m:sub>
                  <m:r>
                    <w:rPr>
                      <w:rFonts w:ascii="Cambria Math" w:hAnsi="Cambria Math"/>
                    </w:rPr>
                    <m:t xml:space="preserve">m</m:t>
                  </m:r>
                </m:sub>
                <m:sup>
                  <m:r>
                    <m:rPr>
                      <m:lit/>
                      <m:nor/>
                    </m:rPr>
                    <w:rPr>
                      <w:rFonts w:ascii="Cambria Math" w:hAnsi="Cambria Math"/>
                    </w:rPr>
                    <m:t xml:space="preserve">гот,j</m:t>
                  </m:r>
                </m:sup>
              </m:sSubSup>
            </m:sub>
          </m:sSub>
          <m:r>
            <w:rPr>
              <w:rFonts w:ascii="Cambria Math" w:hAnsi="Cambria Math"/>
            </w:rPr>
            <m:t xml:space="preserve">=</m:t>
          </m:r>
          <m:nary>
            <m:naryPr>
              <m:chr m:val="∑"/>
              <m:supHide m:val="1"/>
            </m:naryPr>
            <m:sub>
              <m:r>
                <w:rPr>
                  <w:rFonts w:ascii="Cambria Math" w:hAnsi="Cambria Math"/>
                </w:rPr>
                <m:t xml:space="preserve">n</m:t>
              </m:r>
            </m:sub>
            <m:sup/>
            <m:e>
              <m:d>
                <m:dPr>
                  <m:begChr m:val="("/>
                  <m:endChr m:val=")"/>
                </m:dPr>
                <m:e>
                  <m:sSub>
                    <m:e>
                      <m:r>
                        <w:rPr>
                          <w:rFonts w:ascii="Cambria Math" w:hAnsi="Cambria Math"/>
                        </w:rPr>
                        <m:t xml:space="preserve">k</m:t>
                      </m:r>
                    </m:e>
                    <m:sub>
                      <m:r>
                        <w:rPr>
                          <w:rFonts w:ascii="Cambria Math" w:hAnsi="Cambria Math"/>
                        </w:rPr>
                        <m:t xml:space="preserve">n</m:t>
                      </m:r>
                    </m:sub>
                  </m:sSub>
                  <m:r>
                    <w:rPr>
                      <w:rFonts w:ascii="Cambria Math" w:hAnsi="Cambria Math"/>
                    </w:rPr>
                    <m:t xml:space="preserve">⋅</m:t>
                  </m:r>
                  <m:sSup>
                    <m:e>
                      <m:r>
                        <w:rPr>
                          <w:rFonts w:ascii="Cambria Math" w:hAnsi="Cambria Math"/>
                        </w:rPr>
                        <m:t xml:space="preserve">N</m:t>
                      </m:r>
                    </m:e>
                    <m:sup>
                      <m:sSub>
                        <m:e>
                          <m:r>
                            <w:rPr>
                              <w:rFonts w:ascii="Cambria Math" w:hAnsi="Cambria Math"/>
                            </w:rPr>
                            <m:t xml:space="preserve">j</m:t>
                          </m:r>
                        </m:e>
                        <m:sub>
                          <m:r>
                            <m:rPr>
                              <m:lit/>
                              <m:nor/>
                            </m:rPr>
                            <w:rPr>
                              <w:rFonts w:ascii="Cambria Math" w:hAnsi="Cambria Math"/>
                            </w:rPr>
                            <m:t xml:space="preserve">нв,</m:t>
                          </m:r>
                          <m:r>
                            <w:rPr>
                              <w:rFonts w:ascii="Cambria Math" w:hAnsi="Cambria Math"/>
                            </w:rPr>
                            <m:t xml:space="preserve">n</m:t>
                          </m:r>
                        </m:sub>
                      </m:sSub>
                    </m:sup>
                  </m:sSup>
                </m:e>
              </m:d>
              <m:r>
                <w:rPr>
                  <w:rFonts w:ascii="Cambria Math" w:hAnsi="Cambria Math"/>
                </w:rPr>
                <m:t xml:space="preserve">+</m:t>
              </m:r>
              <m:nary>
                <m:naryPr>
                  <m:chr m:val="∑"/>
                  <m:supHide m:val="1"/>
                </m:naryPr>
                <m:sub>
                  <m:r>
                    <w:rPr>
                      <w:rFonts w:ascii="Cambria Math" w:hAnsi="Cambria Math"/>
                    </w:rPr>
                    <m:t xml:space="preserve">l</m:t>
                  </m:r>
                </m:sub>
                <m:sup/>
                <m:e>
                  <m:d>
                    <m:dPr>
                      <m:begChr m:val="("/>
                      <m:endChr m:val=")"/>
                    </m:dPr>
                    <m:e>
                      <m:sSub>
                        <m:e>
                          <m:r>
                            <w:rPr>
                              <w:rFonts w:ascii="Cambria Math" w:hAnsi="Cambria Math"/>
                            </w:rPr>
                            <m:t xml:space="preserve">k</m:t>
                          </m:r>
                        </m:e>
                        <m:sub>
                          <m:r>
                            <w:rPr>
                              <w:rFonts w:ascii="Cambria Math" w:hAnsi="Cambria Math"/>
                            </w:rPr>
                            <m:t xml:space="preserve">l</m:t>
                          </m:r>
                        </m:sub>
                      </m:sSub>
                      <m:r>
                        <w:rPr>
                          <w:rFonts w:ascii="Cambria Math" w:hAnsi="Cambria Math"/>
                        </w:rPr>
                        <m:t xml:space="preserve">⋅</m:t>
                      </m:r>
                      <m:sSubSup>
                        <m:e>
                          <m:r>
                            <w:rPr>
                              <w:rFonts w:ascii="Cambria Math" w:hAnsi="Cambria Math"/>
                            </w:rPr>
                            <m:t xml:space="preserve">k</m:t>
                          </m:r>
                        </m:e>
                        <m:sub>
                          <m:r>
                            <m:rPr>
                              <m:lit/>
                              <m:nor/>
                            </m:rPr>
                            <w:rPr>
                              <w:rFonts w:ascii="Cambria Math" w:hAnsi="Cambria Math"/>
                            </w:rPr>
                            <m:t xml:space="preserve">диф,m</m:t>
                          </m:r>
                        </m:sub>
                        <m:sup>
                          <m:r>
                            <w:rPr>
                              <w:rFonts w:ascii="Cambria Math" w:hAnsi="Cambria Math"/>
                            </w:rPr>
                            <m:t xml:space="preserve">j</m:t>
                          </m:r>
                        </m:sup>
                      </m:sSubSup>
                      <m:r>
                        <w:rPr>
                          <w:rFonts w:ascii="Cambria Math" w:hAnsi="Cambria Math"/>
                        </w:rPr>
                        <m:t xml:space="preserve">⋅</m:t>
                      </m:r>
                      <m:sSup>
                        <m:e>
                          <m:r>
                            <w:rPr>
                              <w:rFonts w:ascii="Cambria Math" w:hAnsi="Cambria Math"/>
                            </w:rPr>
                            <m:t xml:space="preserve">N</m:t>
                          </m:r>
                        </m:e>
                        <m:sup>
                          <m:sSub>
                            <m:e>
                              <m:r>
                                <w:rPr>
                                  <w:rFonts w:ascii="Cambria Math" w:hAnsi="Cambria Math"/>
                                </w:rPr>
                                <m:t xml:space="preserve">j</m:t>
                              </m:r>
                            </m:e>
                            <m:sub>
                              <m:r>
                                <m:rPr>
                                  <m:lit/>
                                  <m:nor/>
                                </m:rPr>
                                <w:rPr>
                                  <w:rFonts w:ascii="Cambria Math" w:hAnsi="Cambria Math"/>
                                </w:rPr>
                                <m:t xml:space="preserve">нв,</m:t>
                              </m:r>
                              <m:r>
                                <w:rPr>
                                  <w:rFonts w:ascii="Cambria Math" w:hAnsi="Cambria Math"/>
                                </w:rPr>
                                <m:t xml:space="preserve">l</m:t>
                              </m:r>
                            </m:sub>
                          </m:sSub>
                        </m:sup>
                      </m:sSup>
                    </m:e>
                  </m:d>
                </m:e>
              </m:nary>
            </m:e>
          </m:nary>
        </m:oMath>
      </m:oMathPara>
    </w:p>
    <w:p>
      <w:pPr>
        <w:pStyle w:val="Normal"/>
        <w:spacing w:lineRule="auto" w:line="276" w:before="0" w:after="200"/>
        <w:ind w:firstLine="709"/>
        <w:rPr>
          <w:rFonts w:eastAsia="Arial"/>
          <w:sz w:val="24"/>
          <w:szCs w:val="24"/>
        </w:rPr>
      </w:pPr>
      <w:r>
        <w:rPr>
          <w:rFonts w:eastAsia="Arial"/>
          <w:sz w:val="24"/>
          <w:szCs w:val="24"/>
        </w:rPr>
        <w:t>где:</w:t>
        <w:tab/>
      </w:r>
    </w:p>
    <w:p>
      <w:pPr>
        <w:pStyle w:val="Normal"/>
        <w:numPr>
          <w:ilvl w:val="0"/>
          <w:numId w:val="0"/>
        </w:numPr>
        <w:spacing w:lineRule="auto" w:line="276" w:before="120" w:after="120"/>
        <w:ind w:firstLine="567"/>
        <w:jc w:val="both"/>
        <w:outlineLvl w:val="3"/>
        <w:rPr>
          <w:sz w:val="24"/>
          <w:szCs w:val="24"/>
        </w:rPr>
      </w:pPr>
      <w:r>
        <w:rPr/>
        <w:drawing>
          <wp:inline distT="0" distB="0" distL="0" distR="0">
            <wp:extent cx="185420" cy="228600"/>
            <wp:effectExtent l="0" t="0" r="0" b="0"/>
            <wp:docPr id="17" name="Изображение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18" descr=""/>
                    <pic:cNvPicPr>
                      <a:picLocks noChangeAspect="1" noChangeArrowheads="1"/>
                    </pic:cNvPicPr>
                  </pic:nvPicPr>
                  <pic:blipFill>
                    <a:blip r:embed="rId22"/>
                    <a:stretch>
                      <a:fillRect/>
                    </a:stretch>
                  </pic:blipFill>
                  <pic:spPr bwMode="auto">
                    <a:xfrm>
                      <a:off x="0" y="0"/>
                      <a:ext cx="185420" cy="228600"/>
                    </a:xfrm>
                    <a:prstGeom prst="rect">
                      <a:avLst/>
                    </a:prstGeom>
                  </pic:spPr>
                </pic:pic>
              </a:graphicData>
            </a:graphic>
          </wp:inline>
        </w:drawing>
      </w:r>
      <w:r>
        <w:rPr>
          <w:sz w:val="24"/>
          <w:szCs w:val="24"/>
        </w:rPr>
        <w:t xml:space="preserve"> </w:t>
      </w:r>
      <w:r>
        <w:rPr>
          <w:rFonts w:eastAsia="Arial"/>
          <w:sz w:val="24"/>
          <w:szCs w:val="24"/>
        </w:rPr>
        <w:t>―</w:t>
      </w:r>
      <w:r>
        <w:rPr>
          <w:sz w:val="24"/>
          <w:szCs w:val="24"/>
        </w:rPr>
        <w:t xml:space="preserve"> </w:t>
      </w:r>
      <w:r>
        <w:rPr>
          <w:rFonts w:eastAsia="Arial"/>
          <w:sz w:val="24"/>
          <w:szCs w:val="24"/>
        </w:rPr>
        <w:t xml:space="preserve">коэффициенты </w:t>
      </w:r>
      <w:r>
        <w:rPr>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0</m:t>
            </m:r>
            <m:r>
              <m:rPr>
                <m:lit/>
                <m:nor/>
              </m:rPr>
              <w:rPr>
                <w:rFonts w:ascii="Cambria Math" w:hAnsi="Cambria Math"/>
              </w:rPr>
              <m:t xml:space="preserve">.</m:t>
            </m:r>
            <m:r>
              <w:rPr>
                <w:rFonts w:ascii="Cambria Math" w:hAnsi="Cambria Math"/>
              </w:rPr>
              <m:t xml:space="preserve">1</m:t>
            </m:r>
          </m:sub>
        </m:sSub>
      </m:oMath>
      <w:r>
        <w:rPr>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0</m:t>
            </m:r>
            <m:r>
              <m:rPr>
                <m:lit/>
                <m:nor/>
              </m:rPr>
              <w:rPr>
                <w:rFonts w:ascii="Cambria Math" w:hAnsi="Cambria Math"/>
              </w:rPr>
              <m:t xml:space="preserve">.</m:t>
            </m:r>
            <m:r>
              <w:rPr>
                <w:rFonts w:ascii="Cambria Math" w:hAnsi="Cambria Math"/>
              </w:rPr>
              <m:t xml:space="preserve">2</m:t>
            </m:r>
          </m:sub>
        </m:sSub>
      </m:oMath>
      <w:r>
        <w:rPr>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sub>
        </m:sSub>
      </m:oMath>
      <w:r>
        <w:rPr>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2</m:t>
            </m:r>
          </m:sub>
        </m:sSub>
      </m:oMath>
      <w:r>
        <w:rPr>
          <w:sz w:val="24"/>
          <w:szCs w:val="24"/>
        </w:rPr>
        <w:t>)</w:t>
      </w:r>
    </w:p>
    <w:p>
      <w:pPr>
        <w:pStyle w:val="Normal"/>
        <w:numPr>
          <w:ilvl w:val="0"/>
          <w:numId w:val="0"/>
        </w:numPr>
        <w:spacing w:lineRule="auto" w:line="276" w:before="120" w:after="120"/>
        <w:ind w:firstLine="567"/>
        <w:jc w:val="both"/>
        <w:outlineLvl w:val="3"/>
        <w:rPr>
          <w:sz w:val="24"/>
          <w:szCs w:val="24"/>
        </w:rPr>
      </w:pPr>
      <w:r>
        <w:rPr/>
        <w:drawing>
          <wp:inline distT="0" distB="0" distL="0" distR="0">
            <wp:extent cx="184785" cy="277495"/>
            <wp:effectExtent l="0" t="0" r="0" b="0"/>
            <wp:docPr id="18" name="Изображение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Изображение19" descr=""/>
                    <pic:cNvPicPr>
                      <a:picLocks noChangeAspect="1" noChangeArrowheads="1"/>
                    </pic:cNvPicPr>
                  </pic:nvPicPr>
                  <pic:blipFill>
                    <a:blip r:embed="rId23"/>
                    <a:stretch>
                      <a:fillRect/>
                    </a:stretch>
                  </pic:blipFill>
                  <pic:spPr bwMode="auto">
                    <a:xfrm>
                      <a:off x="0" y="0"/>
                      <a:ext cx="184785" cy="277495"/>
                    </a:xfrm>
                    <a:prstGeom prst="rect">
                      <a:avLst/>
                    </a:prstGeom>
                  </pic:spPr>
                </pic:pic>
              </a:graphicData>
            </a:graphic>
          </wp:inline>
        </w:drawing>
      </w:r>
      <w:r>
        <w:rPr>
          <w:sz w:val="24"/>
          <w:szCs w:val="24"/>
        </w:rPr>
        <w:t xml:space="preserve"> </w:t>
      </w:r>
      <w:r>
        <w:rPr>
          <w:rFonts w:eastAsia="Arial"/>
          <w:sz w:val="24"/>
          <w:szCs w:val="24"/>
        </w:rPr>
        <w:t>―</w:t>
      </w:r>
      <w:r>
        <w:rPr>
          <w:sz w:val="24"/>
          <w:szCs w:val="24"/>
        </w:rPr>
        <w:t xml:space="preserve"> </w:t>
      </w:r>
      <w:r>
        <w:rPr>
          <w:rFonts w:eastAsia="Arial"/>
          <w:sz w:val="24"/>
          <w:szCs w:val="24"/>
        </w:rPr>
        <w:t>коэффициенты (</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3</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4</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1</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2</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3</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2</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3</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4</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5</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6</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7</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8</m:t>
            </m:r>
            <m:r>
              <m:rPr>
                <m:lit/>
                <m:nor/>
              </m:rPr>
              <w:rPr>
                <w:rFonts w:ascii="Cambria Math" w:hAnsi="Cambria Math"/>
              </w:rPr>
              <m:t xml:space="preserve">.</m:t>
            </m:r>
            <m:r>
              <w:rPr>
                <w:rFonts w:ascii="Cambria Math" w:hAnsi="Cambria Math"/>
              </w:rPr>
              <m:t xml:space="preserve">1</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8</m:t>
            </m:r>
            <m:r>
              <m:rPr>
                <m:lit/>
                <m:nor/>
              </m:rPr>
              <w:rPr>
                <w:rFonts w:ascii="Cambria Math" w:hAnsi="Cambria Math"/>
              </w:rPr>
              <m:t xml:space="preserve">.</m:t>
            </m:r>
            <m:r>
              <w:rPr>
                <w:rFonts w:ascii="Cambria Math" w:hAnsi="Cambria Math"/>
              </w:rPr>
              <m:t xml:space="preserve">2</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9</m:t>
            </m:r>
          </m:sub>
        </m:sSub>
      </m:oMath>
      <w:r>
        <w:rPr>
          <w:rFonts w:eastAsia="Arial"/>
          <w:sz w:val="24"/>
          <w:szCs w:val="24"/>
        </w:rPr>
        <w:t xml:space="preserve">), </w:t>
      </w:r>
    </w:p>
    <w:p>
      <w:pPr>
        <w:pStyle w:val="Normal"/>
        <w:numPr>
          <w:ilvl w:val="0"/>
          <w:numId w:val="0"/>
        </w:numPr>
        <w:spacing w:lineRule="auto" w:line="276" w:before="120" w:after="120"/>
        <w:ind w:firstLine="567"/>
        <w:jc w:val="both"/>
        <w:outlineLvl w:val="3"/>
        <w:rPr>
          <w:sz w:val="24"/>
          <w:szCs w:val="24"/>
        </w:rPr>
      </w:pPr>
      <w:r>
        <w:rPr>
          <w:rFonts w:eastAsia="Arial"/>
          <w:sz w:val="24"/>
          <w:szCs w:val="24"/>
        </w:rPr>
        <w:t xml:space="preserve">определяемые для каждого из соответствующих им объемов невыполнения требований по готовности </w:t>
      </w:r>
      <w:r>
        <w:rPr/>
        <w:drawing>
          <wp:inline distT="0" distB="0" distL="0" distR="0">
            <wp:extent cx="277495" cy="277495"/>
            <wp:effectExtent l="0" t="0" r="0" b="0"/>
            <wp:docPr id="19" name="Изображение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Изображение20" descr=""/>
                    <pic:cNvPicPr>
                      <a:picLocks noChangeAspect="1" noChangeArrowheads="1"/>
                    </pic:cNvPicPr>
                  </pic:nvPicPr>
                  <pic:blipFill>
                    <a:blip r:embed="rId24"/>
                    <a:stretch>
                      <a:fillRect/>
                    </a:stretch>
                  </pic:blipFill>
                  <pic:spPr bwMode="auto">
                    <a:xfrm>
                      <a:off x="0" y="0"/>
                      <a:ext cx="277495" cy="277495"/>
                    </a:xfrm>
                    <a:prstGeom prst="rect">
                      <a:avLst/>
                    </a:prstGeom>
                  </pic:spPr>
                </pic:pic>
              </a:graphicData>
            </a:graphic>
          </wp:inline>
        </w:drawing>
      </w:r>
      <w:r>
        <w:rPr>
          <w:rFonts w:eastAsia="Arial"/>
          <w:sz w:val="24"/>
          <w:szCs w:val="24"/>
        </w:rPr>
        <w:t xml:space="preserve"> Правилами ОРЭМ (согласно Приложению 2 к Регламенту определения объемов фактически поставленной на оптовый рынок мощности, Приказ ФСТ  России от 03.03.2009 № 32-э/1).</w:t>
      </w:r>
    </w:p>
    <w:p>
      <w:pPr>
        <w:pStyle w:val="Normal"/>
        <w:numPr>
          <w:ilvl w:val="0"/>
          <w:numId w:val="0"/>
        </w:numPr>
        <w:spacing w:lineRule="auto" w:line="276" w:before="120" w:after="120"/>
        <w:ind w:firstLine="567"/>
        <w:jc w:val="both"/>
        <w:outlineLvl w:val="2"/>
        <w:rPr>
          <w:sz w:val="24"/>
          <w:szCs w:val="24"/>
        </w:rPr>
      </w:pPr>
      <w:r>
        <w:rPr>
          <w:rFonts w:eastAsia="Arial"/>
          <w:sz w:val="24"/>
          <w:szCs w:val="24"/>
        </w:rPr>
        <w:t xml:space="preserve">Для входящей в состав Дальневосточного федерального округа отдельной территории, ранее относившейся к неценовым зонам, </w:t>
      </w:r>
      <w:r>
        <w:rPr/>
        <w:drawing>
          <wp:inline distT="0" distB="0" distL="0" distR="0">
            <wp:extent cx="636270" cy="278130"/>
            <wp:effectExtent l="0" t="0" r="0" b="0"/>
            <wp:docPr id="20" name="Изображение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21" descr=""/>
                    <pic:cNvPicPr>
                      <a:picLocks noChangeAspect="1" noChangeArrowheads="1"/>
                    </pic:cNvPicPr>
                  </pic:nvPicPr>
                  <pic:blipFill>
                    <a:blip r:embed="rId25"/>
                    <a:stretch>
                      <a:fillRect/>
                    </a:stretch>
                  </pic:blipFill>
                  <pic:spPr bwMode="auto">
                    <a:xfrm>
                      <a:off x="0" y="0"/>
                      <a:ext cx="636270" cy="278130"/>
                    </a:xfrm>
                    <a:prstGeom prst="rect">
                      <a:avLst/>
                    </a:prstGeom>
                  </pic:spPr>
                </pic:pic>
              </a:graphicData>
            </a:graphic>
          </wp:inline>
        </w:drawing>
      </w:r>
      <w:r>
        <w:rPr>
          <w:rFonts w:eastAsia="Arial"/>
          <w:sz w:val="24"/>
          <w:szCs w:val="24"/>
        </w:rPr>
        <w:t>.</w:t>
      </w:r>
    </w:p>
    <w:p>
      <w:pPr>
        <w:pStyle w:val="Normal"/>
        <w:spacing w:lineRule="auto" w:line="276" w:before="0" w:after="200"/>
        <w:ind w:firstLine="567"/>
        <w:jc w:val="both"/>
        <w:rPr>
          <w:rFonts w:eastAsia="Arial"/>
          <w:sz w:val="24"/>
          <w:szCs w:val="24"/>
        </w:rPr>
      </w:pPr>
      <w:r>
        <w:rPr>
          <w:rFonts w:eastAsia="Arial"/>
          <w:sz w:val="24"/>
          <w:szCs w:val="24"/>
        </w:rPr>
        <w:t xml:space="preserve">В соответствии с Постановлением Правительства РФ от 27.12.2010 N 1172 (ред. от 04.02.2025)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w:t>
      </w:r>
    </w:p>
    <w:p>
      <w:pPr>
        <w:pStyle w:val="Normal"/>
        <w:spacing w:lineRule="auto" w:line="276" w:before="0" w:after="200"/>
        <w:ind w:firstLine="567"/>
        <w:jc w:val="both"/>
        <w:rPr>
          <w:rFonts w:eastAsia="Arial"/>
          <w:sz w:val="24"/>
          <w:szCs w:val="24"/>
        </w:rPr>
      </w:pPr>
      <w:r>
        <w:rPr>
          <w:rFonts w:eastAsia="Arial"/>
          <w:sz w:val="24"/>
          <w:szCs w:val="24"/>
        </w:rPr>
        <w:t>- стоимость мощности, продаваемой по итогам конкурентного отбора мощности, определяется исходя из цены, определенной в соответствии с договором о присоединении к торговой системе оптового рынка организацией коммерческой инфраструктуры по результатам конкурентного отбора мощности по соответствующей группе точек поставки с учетом индексации этой цены, на условиях и в порядке, которые установлены Правилами индексации цены на мощность, умноженной на сезонный коэффициент.</w:t>
      </w:r>
    </w:p>
    <w:p>
      <w:pPr>
        <w:pStyle w:val="Normal"/>
        <w:spacing w:lineRule="auto" w:line="276" w:before="0" w:after="200"/>
        <w:ind w:firstLine="567"/>
        <w:jc w:val="both"/>
        <w:rPr>
          <w:sz w:val="24"/>
          <w:szCs w:val="24"/>
        </w:rPr>
      </w:pPr>
      <w:r>
        <w:rPr>
          <w:sz w:val="24"/>
          <w:szCs w:val="24"/>
        </w:rPr>
        <w:t xml:space="preserve">  </w:t>
      </w:r>
      <w:r>
        <w:rPr>
          <w:rFonts w:eastAsia="Arial"/>
          <w:sz w:val="24"/>
          <w:szCs w:val="24"/>
        </w:rPr>
        <w:t xml:space="preserve">- </w:t>
      </w:r>
      <w:r>
        <w:rPr/>
        <w:drawing>
          <wp:inline distT="0" distB="0" distL="0" distR="0">
            <wp:extent cx="474980" cy="302260"/>
            <wp:effectExtent l="0" t="0" r="0" b="0"/>
            <wp:docPr id="21" name="Изображение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Изображение22" descr=""/>
                    <pic:cNvPicPr>
                      <a:picLocks noChangeAspect="1" noChangeArrowheads="1"/>
                    </pic:cNvPicPr>
                  </pic:nvPicPr>
                  <pic:blipFill>
                    <a:blip r:embed="rId26"/>
                    <a:stretch>
                      <a:fillRect/>
                    </a:stretch>
                  </pic:blipFill>
                  <pic:spPr bwMode="auto">
                    <a:xfrm>
                      <a:off x="0" y="0"/>
                      <a:ext cx="474980" cy="302260"/>
                    </a:xfrm>
                    <a:prstGeom prst="rect">
                      <a:avLst/>
                    </a:prstGeom>
                  </pic:spPr>
                </pic:pic>
              </a:graphicData>
            </a:graphic>
          </wp:inline>
        </w:drawing>
      </w:r>
      <w:r>
        <w:rPr>
          <w:rFonts w:eastAsia="Arial"/>
          <w:sz w:val="24"/>
          <w:szCs w:val="24"/>
        </w:rPr>
        <w:t xml:space="preserve"> - цена на мощность в месяце (m), определяемая согласно Правилам ОРЭМ для генерирующего объекта (g) тепловой электростанции на входящей в состав Дальневосточного федерального округа отдельной территории, ранее относившейся к неценовым зонам, включенного в перечень генерирующих объектов на отдельных территориях, ранее относившихся к неценовым зонам, частичная компенсация стоимости мощности которого осуществляется за счет надбавки к цене на мощность, поставляемой субъектом оптового рынка - производителем электрической энергии (мощности) (pr), в отношении которого Правительством Российской Федерации принято соответствующее решение (рублей/МВт в месяц);</w:t>
      </w:r>
    </w:p>
    <w:p>
      <w:pPr>
        <w:pStyle w:val="Normal"/>
        <w:spacing w:lineRule="auto" w:line="276" w:before="0" w:after="200"/>
        <w:ind w:firstLine="567"/>
        <w:jc w:val="both"/>
        <w:rPr>
          <w:rFonts w:eastAsia="Arial"/>
          <w:sz w:val="24"/>
          <w:szCs w:val="24"/>
        </w:rPr>
      </w:pPr>
      <w:r>
        <w:rPr>
          <w:rFonts w:eastAsia="Arial"/>
          <w:sz w:val="24"/>
          <w:szCs w:val="24"/>
        </w:rPr>
        <w:t>- сезонный коэффициент определяется в соответствии с договором о присоединении к торговой системе оптового рынка как отношение среднего за 3 предшествующих года значения объема максимального потребления электрической энергии в определенные системным оператором плановые часы пиковой нагрузки в ценовой зоне в соответствующем месяце к среднему за 3 предшествующих года значению объема среднегодового максимального потребления электрической энергии в определенные системным оператором плановые часы пиковой нагрузки в этой же ценовой зоне. При этом для второй ценовой зоны до 31 декабря 2028 г. включительно сезонный коэффициент определяется без учета потребления электрической энергии на входящей в состав Дальневосточного федерального округа отдельной территории, ранее относившейся к неценовым зонам.</w:t>
      </w:r>
    </w:p>
    <w:p>
      <w:pPr>
        <w:pStyle w:val="Normal"/>
        <w:spacing w:lineRule="auto" w:line="276" w:before="240" w:after="200"/>
        <w:jc w:val="both"/>
        <w:rPr>
          <w:sz w:val="24"/>
          <w:szCs w:val="24"/>
        </w:rPr>
      </w:pPr>
      <w:r>
        <w:rPr>
          <w:rFonts w:eastAsia="Arial"/>
          <w:sz w:val="24"/>
          <w:szCs w:val="24"/>
        </w:rPr>
        <w:t xml:space="preserve">- </w:t>
      </w:r>
      <w:r>
        <w:rPr/>
        <w:drawing>
          <wp:inline distT="0" distB="0" distL="0" distR="0">
            <wp:extent cx="457200" cy="302895"/>
            <wp:effectExtent l="0" t="0" r="0" b="0"/>
            <wp:docPr id="22" name="Изображение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Изображение23" descr=""/>
                    <pic:cNvPicPr>
                      <a:picLocks noChangeAspect="1" noChangeArrowheads="1"/>
                    </pic:cNvPicPr>
                  </pic:nvPicPr>
                  <pic:blipFill>
                    <a:blip r:embed="rId27"/>
                    <a:stretch>
                      <a:fillRect/>
                    </a:stretch>
                  </pic:blipFill>
                  <pic:spPr bwMode="auto">
                    <a:xfrm>
                      <a:off x="0" y="0"/>
                      <a:ext cx="457200" cy="302895"/>
                    </a:xfrm>
                    <a:prstGeom prst="rect">
                      <a:avLst/>
                    </a:prstGeom>
                  </pic:spPr>
                </pic:pic>
              </a:graphicData>
            </a:graphic>
          </wp:inline>
        </w:drawing>
      </w:r>
      <w:r>
        <w:rPr>
          <w:rFonts w:eastAsia="Arial"/>
          <w:sz w:val="24"/>
          <w:szCs w:val="24"/>
        </w:rPr>
        <w:t xml:space="preserve"> - сезонный коэффициент, рассчитанный для ценовой зоны оптового рынка (z) месяца (m); </w:t>
      </w:r>
    </w:p>
    <w:p>
      <w:pPr>
        <w:pStyle w:val="Normal"/>
        <w:widowControl/>
        <w:spacing w:before="120" w:after="20"/>
        <w:ind w:firstLine="709"/>
        <w:jc w:val="both"/>
        <w:rPr>
          <w:sz w:val="24"/>
          <w:szCs w:val="24"/>
        </w:rPr>
      </w:pPr>
      <w:r>
        <w:rPr>
          <w:rFonts w:eastAsia="Arial"/>
          <w:sz w:val="24"/>
          <w:szCs w:val="24"/>
        </w:rPr>
        <w:t xml:space="preserve">Стоимость недопоставки мощности (снижение оплаты мощности) рассчитывается как произведение объема недопоставки мощности </w:t>
      </w:r>
      <w:r>
        <w:rPr/>
      </w:r>
      <m:oMath xmlns:m="http://schemas.openxmlformats.org/officeDocument/2006/math">
        <m:sSub>
          <m:e>
            <m:r>
              <m:rPr>
                <m:lit/>
                <m:nor/>
              </m:rPr>
              <w:rPr>
                <w:rFonts w:ascii="Cambria Math" w:hAnsi="Cambria Math"/>
              </w:rPr>
              <m:t xml:space="preserve">ΔN</m:t>
            </m:r>
          </m:e>
          <m:sub>
            <m:sSubSup>
              <m:e>
                <m:r>
                  <m:rPr>
                    <m:lit/>
                    <m:nor/>
                  </m:rPr>
                  <w:rPr>
                    <w:rFonts w:ascii="Cambria Math" w:hAnsi="Cambria Math"/>
                  </w:rPr>
                  <m:t xml:space="preserve">СП</m:t>
                </m:r>
              </m:e>
              <m:sub>
                <m:r>
                  <w:rPr>
                    <w:rFonts w:ascii="Cambria Math" w:hAnsi="Cambria Math"/>
                  </w:rPr>
                  <m:t xml:space="preserve">m</m:t>
                </m:r>
              </m:sub>
              <m:sup>
                <m:r>
                  <m:rPr>
                    <m:lit/>
                    <m:nor/>
                  </m:rPr>
                  <w:rPr>
                    <w:rFonts w:ascii="Cambria Math" w:hAnsi="Cambria Math"/>
                  </w:rPr>
                  <m:t xml:space="preserve">гот,j</m:t>
                </m:r>
              </m:sup>
            </m:sSubSup>
          </m:sub>
        </m:sSub>
      </m:oMath>
      <w:r>
        <w:rPr>
          <w:rFonts w:eastAsia="Arial"/>
          <w:sz w:val="24"/>
          <w:szCs w:val="24"/>
        </w:rPr>
        <w:t xml:space="preserve"> на цену </w:t>
      </w:r>
      <w:r>
        <w:rPr/>
        <w:drawing>
          <wp:inline distT="0" distB="0" distL="0" distR="0">
            <wp:extent cx="474980" cy="302260"/>
            <wp:effectExtent l="0" t="0" r="0" b="0"/>
            <wp:docPr id="23" name="Изображение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Изображение24" descr=""/>
                    <pic:cNvPicPr>
                      <a:picLocks noChangeAspect="1" noChangeArrowheads="1"/>
                    </pic:cNvPicPr>
                  </pic:nvPicPr>
                  <pic:blipFill>
                    <a:blip r:embed="rId28"/>
                    <a:srcRect l="-42" t="-65" r="-42" b="-65"/>
                    <a:stretch>
                      <a:fillRect/>
                    </a:stretch>
                  </pic:blipFill>
                  <pic:spPr bwMode="auto">
                    <a:xfrm>
                      <a:off x="0" y="0"/>
                      <a:ext cx="474980" cy="302260"/>
                    </a:xfrm>
                    <a:prstGeom prst="rect">
                      <a:avLst/>
                    </a:prstGeom>
                  </pic:spPr>
                </pic:pic>
              </a:graphicData>
            </a:graphic>
          </wp:inline>
        </w:drawing>
      </w:r>
      <w:r>
        <w:rPr>
          <w:rFonts w:eastAsia="Arial"/>
          <w:sz w:val="24"/>
          <w:szCs w:val="24"/>
        </w:rPr>
        <w:t xml:space="preserve"> и на коэффициент сезонности</w:t>
      </w:r>
      <w:r>
        <w:rPr/>
        <w:drawing>
          <wp:inline distT="0" distB="0" distL="0" distR="0">
            <wp:extent cx="457200" cy="302895"/>
            <wp:effectExtent l="0" t="0" r="0" b="0"/>
            <wp:docPr id="24" name="Изображение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Изображение25" descr=""/>
                    <pic:cNvPicPr>
                      <a:picLocks noChangeAspect="1" noChangeArrowheads="1"/>
                    </pic:cNvPicPr>
                  </pic:nvPicPr>
                  <pic:blipFill>
                    <a:blip r:embed="rId29"/>
                    <a:srcRect l="-43" t="-65" r="-43" b="-65"/>
                    <a:stretch>
                      <a:fillRect/>
                    </a:stretch>
                  </pic:blipFill>
                  <pic:spPr bwMode="auto">
                    <a:xfrm>
                      <a:off x="0" y="0"/>
                      <a:ext cx="457200" cy="302895"/>
                    </a:xfrm>
                    <a:prstGeom prst="rect">
                      <a:avLst/>
                    </a:prstGeom>
                  </pic:spPr>
                </pic:pic>
              </a:graphicData>
            </a:graphic>
          </wp:inline>
        </w:drawing>
      </w:r>
      <w:r>
        <w:rPr>
          <w:rFonts w:eastAsia="Arial"/>
          <w:sz w:val="24"/>
          <w:szCs w:val="24"/>
        </w:rPr>
        <w:t xml:space="preserve">. </w:t>
      </w:r>
    </w:p>
    <w:p>
      <w:pPr>
        <w:pStyle w:val="Normal"/>
        <w:widowControl/>
        <w:spacing w:before="120" w:after="20"/>
        <w:ind w:firstLine="709"/>
        <w:jc w:val="both"/>
        <w:rPr>
          <w:sz w:val="24"/>
          <w:szCs w:val="24"/>
        </w:rPr>
      </w:pPr>
      <w:r>
        <w:rPr>
          <w:sz w:val="24"/>
          <w:szCs w:val="24"/>
        </w:rPr>
      </w:r>
    </w:p>
    <w:p>
      <w:pPr>
        <w:pStyle w:val="Normal"/>
        <w:widowControl/>
        <w:spacing w:before="120" w:after="20"/>
        <w:ind w:firstLine="709"/>
        <w:jc w:val="both"/>
        <w:rPr>
          <w:sz w:val="24"/>
          <w:szCs w:val="24"/>
        </w:rPr>
      </w:pPr>
      <w:r>
        <w:rPr>
          <w:sz w:val="24"/>
          <w:szCs w:val="24"/>
        </w:rPr>
      </w:r>
    </w:p>
    <w:p>
      <w:pPr>
        <w:pStyle w:val="Normal"/>
        <w:jc w:val="center"/>
        <w:rPr>
          <w:sz w:val="22"/>
          <w:szCs w:val="22"/>
        </w:rPr>
      </w:pPr>
      <w:r>
        <w:rPr>
          <w:sz w:val="22"/>
          <w:szCs w:val="22"/>
        </w:rPr>
        <w:t>ПОДПИСИ СТОРОН:</w:t>
      </w:r>
    </w:p>
    <w:p>
      <w:pPr>
        <w:pStyle w:val="Normal"/>
        <w:jc w:val="center"/>
        <w:rPr>
          <w:sz w:val="22"/>
          <w:szCs w:val="22"/>
        </w:rPr>
      </w:pPr>
      <w:r>
        <w:rPr>
          <w:sz w:val="22"/>
          <w:szCs w:val="22"/>
        </w:rPr>
      </w:r>
    </w:p>
    <w:p>
      <w:pPr>
        <w:pStyle w:val="Normal"/>
        <w:jc w:val="center"/>
        <w:rPr>
          <w:sz w:val="22"/>
          <w:szCs w:val="22"/>
        </w:rPr>
      </w:pPr>
      <w:r>
        <w:rPr>
          <w:sz w:val="22"/>
          <w:szCs w:val="22"/>
        </w:rPr>
      </w:r>
    </w:p>
    <w:tbl>
      <w:tblPr>
        <w:tblStyle w:val="affb"/>
        <w:tblW w:w="991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955"/>
        <w:gridCol w:w="4955"/>
      </w:tblGrid>
      <w:tr>
        <w:trPr/>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Покупатель:</w:t>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tc>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Поставщик:</w:t>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tc>
      </w:tr>
      <w:tr>
        <w:trPr/>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_____________________/_____________</w:t>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tc>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_____________________/_____________</w:t>
            </w:r>
          </w:p>
        </w:tc>
      </w:tr>
    </w:tbl>
    <w:p>
      <w:pPr>
        <w:pStyle w:val="Normal"/>
        <w:jc w:val="center"/>
        <w:rPr>
          <w:sz w:val="22"/>
          <w:szCs w:val="22"/>
        </w:rPr>
      </w:pPr>
      <w:r>
        <w:rPr/>
      </w:r>
    </w:p>
    <w:sectPr>
      <w:headerReference w:type="default" r:id="rId30"/>
      <w:footerReference w:type="default" r:id="rId31"/>
      <w:footnotePr>
        <w:numFmt w:val="decimal"/>
      </w:footnotePr>
      <w:type w:val="nextPage"/>
      <w:pgSz w:w="11906" w:h="16838"/>
      <w:pgMar w:left="1134" w:right="851" w:gutter="0" w:header="567" w:top="851" w:footer="709" w:bottom="2268"/>
      <w:pgNumType w:fmt="decimal"/>
      <w:formProt w:val="false"/>
      <w:textDirection w:val="lrTb"/>
      <w:docGrid w:type="default" w:linePitch="360" w:charSpace="4915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swiss"/>
    <w:pitch w:val="variable"/>
  </w:font>
  <w:font w:name="Courier New">
    <w:charset w:val="01"/>
    <w:family w:val="roman"/>
    <w:pitch w:val="variable"/>
  </w:font>
  <w:font w:name="Tahoma">
    <w:charset w:val="01"/>
    <w:family w:val="roman"/>
    <w:pitch w:val="variable"/>
  </w:font>
  <w:font w:name="Verdana">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25</w:t>
    </w:r>
    <w:r>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14"/>
        </w:rPr>
        <w:footnoteRef/>
      </w:r>
      <w:r>
        <w:rPr/>
        <w:t xml:space="preserve"> </w:t>
      </w:r>
      <w:r>
        <w:rPr/>
        <w:t>Включается в Договор в случае, если перемещение Товара осуществляется Поставщиком до подписания Сторонами Накладной ТОРГ-12.</w:t>
      </w:r>
    </w:p>
  </w:footnote>
  <w:footnote w:id="3">
    <w:p>
      <w:pPr>
        <w:pStyle w:val="FootnoteText"/>
        <w:jc w:val="both"/>
        <w:rPr/>
      </w:pPr>
      <w:r>
        <w:rPr>
          <w:rStyle w:val="Style14"/>
        </w:rPr>
        <w:footnoteRef/>
      </w:r>
      <w:r>
        <w:rPr>
          <w:highlight w:val="lightGray"/>
        </w:rPr>
        <w:t xml:space="preserve"> </w:t>
      </w:r>
      <w:r>
        <w:rPr>
          <w:highlight w:val="lightGray"/>
        </w:rPr>
        <w:t>Включается в Договор в случае, если перемещение Товара осуществляется Поставщиком до подписания Сторонами Накладной ТОРГ-12.</w:t>
      </w:r>
    </w:p>
  </w:footnote>
  <w:footnote w:id="4">
    <w:p>
      <w:pPr>
        <w:pStyle w:val="FootnoteText"/>
        <w:jc w:val="both"/>
        <w:rPr/>
      </w:pPr>
      <w:r>
        <w:rPr>
          <w:rStyle w:val="Style14"/>
        </w:rPr>
        <w:footnoteRef/>
      </w:r>
      <w:r>
        <w:rPr/>
        <w:t xml:space="preserve"> </w:t>
      </w:r>
      <w:r>
        <w:rPr/>
        <w:t>Указанное условие применяется к договорам поставки Товара, обеспечивающего производство и/или передачу (транспортировку) электрической энергии и мощности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i/>
        <w:i/>
      </w:rPr>
    </w:pPr>
    <w:r>
      <w:rPr>
        <w:i/>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2984"/>
        </w:tabs>
        <w:ind w:left="2984" w:hanging="432"/>
      </w:pPr>
      <w:rPr>
        <w:sz w:val="24"/>
        <w:b w:val="false"/>
        <w:szCs w:val="24"/>
      </w:rPr>
    </w:lvl>
    <w:lvl w:ilvl="2">
      <w:start w:val="1"/>
      <w:numFmt w:val="decimal"/>
      <w:lvlText w:val="%1.%2.%3."/>
      <w:lvlJc w:val="left"/>
      <w:pPr>
        <w:tabs>
          <w:tab w:val="num" w:pos="1855"/>
        </w:tabs>
        <w:ind w:left="1639"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4"/>
      <w:numFmt w:val="decimal"/>
      <w:lvlText w:val="%1"/>
      <w:lvlJc w:val="left"/>
      <w:pPr>
        <w:tabs>
          <w:tab w:val="num" w:pos="0"/>
        </w:tabs>
        <w:ind w:left="360" w:hanging="360"/>
      </w:pPr>
      <w:rPr/>
    </w:lvl>
    <w:lvl w:ilvl="1">
      <w:start w:val="7"/>
      <w:numFmt w:val="decimal"/>
      <w:lvlText w:val="%1.%2"/>
      <w:lvlJc w:val="left"/>
      <w:pPr>
        <w:tabs>
          <w:tab w:val="num" w:pos="0"/>
        </w:tabs>
        <w:ind w:left="1779" w:hanging="360"/>
      </w:pPr>
      <w:rPr/>
    </w:lvl>
    <w:lvl w:ilvl="2">
      <w:start w:val="1"/>
      <w:numFmt w:val="decimal"/>
      <w:lvlText w:val="%1.%2.%3"/>
      <w:lvlJc w:val="left"/>
      <w:pPr>
        <w:tabs>
          <w:tab w:val="num" w:pos="0"/>
        </w:tabs>
        <w:ind w:left="3558" w:hanging="720"/>
      </w:pPr>
      <w:rPr/>
    </w:lvl>
    <w:lvl w:ilvl="3">
      <w:start w:val="1"/>
      <w:numFmt w:val="decimal"/>
      <w:lvlText w:val="%1.%2.%3.%4"/>
      <w:lvlJc w:val="left"/>
      <w:pPr>
        <w:tabs>
          <w:tab w:val="num" w:pos="0"/>
        </w:tabs>
        <w:ind w:left="4977" w:hanging="720"/>
      </w:pPr>
      <w:rPr/>
    </w:lvl>
    <w:lvl w:ilvl="4">
      <w:start w:val="1"/>
      <w:numFmt w:val="decimal"/>
      <w:lvlText w:val="%1.%2.%3.%4.%5"/>
      <w:lvlJc w:val="left"/>
      <w:pPr>
        <w:tabs>
          <w:tab w:val="num" w:pos="0"/>
        </w:tabs>
        <w:ind w:left="6756" w:hanging="1080"/>
      </w:pPr>
      <w:rPr/>
    </w:lvl>
    <w:lvl w:ilvl="5">
      <w:start w:val="1"/>
      <w:numFmt w:val="decimal"/>
      <w:lvlText w:val="%1.%2.%3.%4.%5.%6"/>
      <w:lvlJc w:val="left"/>
      <w:pPr>
        <w:tabs>
          <w:tab w:val="num" w:pos="0"/>
        </w:tabs>
        <w:ind w:left="8175" w:hanging="1080"/>
      </w:pPr>
      <w:rPr/>
    </w:lvl>
    <w:lvl w:ilvl="6">
      <w:start w:val="1"/>
      <w:numFmt w:val="decimal"/>
      <w:lvlText w:val="%1.%2.%3.%4.%5.%6.%7"/>
      <w:lvlJc w:val="left"/>
      <w:pPr>
        <w:tabs>
          <w:tab w:val="num" w:pos="0"/>
        </w:tabs>
        <w:ind w:left="9954" w:hanging="1440"/>
      </w:pPr>
      <w:rPr/>
    </w:lvl>
    <w:lvl w:ilvl="7">
      <w:start w:val="1"/>
      <w:numFmt w:val="decimal"/>
      <w:lvlText w:val="%1.%2.%3.%4.%5.%6.%7.%8"/>
      <w:lvlJc w:val="left"/>
      <w:pPr>
        <w:tabs>
          <w:tab w:val="num" w:pos="0"/>
        </w:tabs>
        <w:ind w:left="11373" w:hanging="1440"/>
      </w:pPr>
      <w:rPr/>
    </w:lvl>
    <w:lvl w:ilvl="8">
      <w:start w:val="1"/>
      <w:numFmt w:val="decimal"/>
      <w:lvlText w:val="%1.%2.%3.%4.%5.%6.%7.%8.%9"/>
      <w:lvlJc w:val="left"/>
      <w:pPr>
        <w:tabs>
          <w:tab w:val="num" w:pos="0"/>
        </w:tabs>
        <w:ind w:left="13152" w:hanging="1800"/>
      </w:pPr>
      <w:rPr/>
    </w:lvl>
  </w:abstractNum>
  <w:abstractNum w:abstractNumId="9">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uiPriority="99"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b206e"/>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rsid w:val="00a264b0"/>
    <w:pPr>
      <w:keepNext w:val="true"/>
      <w:spacing w:before="240" w:after="60"/>
      <w:outlineLvl w:val="0"/>
    </w:pPr>
    <w:rPr>
      <w:rFonts w:ascii="Arial" w:hAnsi="Arial" w:cs="Arial"/>
      <w:b/>
      <w:bCs/>
      <w:kern w:val="2"/>
      <w:sz w:val="32"/>
      <w:szCs w:val="32"/>
    </w:rPr>
  </w:style>
  <w:style w:type="paragraph" w:styleId="Heading3">
    <w:name w:val="Heading 3"/>
    <w:basedOn w:val="Normal"/>
    <w:next w:val="Normal"/>
    <w:link w:val="31"/>
    <w:qFormat/>
    <w:rsid w:val="001b1bd9"/>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Style7" w:customStyle="1">
    <w:name w:val="Заголовок Знак"/>
    <w:qFormat/>
    <w:locked/>
    <w:rsid w:val="00565582"/>
    <w:rPr>
      <w:b/>
      <w:bCs/>
      <w:sz w:val="24"/>
      <w:szCs w:val="24"/>
      <w:lang w:val="ru-RU" w:eastAsia="ru-RU" w:bidi="ar-SA"/>
    </w:rPr>
  </w:style>
  <w:style w:type="character" w:styleId="Style8" w:customStyle="1">
    <w:name w:val="Основной текст Знак"/>
    <w:qFormat/>
    <w:rsid w:val="00565582"/>
    <w:rPr>
      <w:lang w:val="ru-RU" w:eastAsia="ru-RU" w:bidi="ar-SA"/>
    </w:rPr>
  </w:style>
  <w:style w:type="character" w:styleId="Pagenumber">
    <w:name w:val="page number"/>
    <w:basedOn w:val="DefaultParagraphFont"/>
    <w:qFormat/>
    <w:rsid w:val="008b02a1"/>
    <w:rPr/>
  </w:style>
  <w:style w:type="character" w:styleId="3" w:customStyle="1">
    <w:name w:val="Основной текст 3 Знак"/>
    <w:link w:val="BodyText3"/>
    <w:qFormat/>
    <w:rsid w:val="005a0965"/>
    <w:rPr>
      <w:sz w:val="16"/>
      <w:szCs w:val="16"/>
    </w:rPr>
  </w:style>
  <w:style w:type="character" w:styleId="Annotationreference">
    <w:name w:val="annotation reference"/>
    <w:qFormat/>
    <w:rsid w:val="00d36934"/>
    <w:rPr>
      <w:sz w:val="16"/>
      <w:szCs w:val="16"/>
    </w:rPr>
  </w:style>
  <w:style w:type="character" w:styleId="Style9" w:customStyle="1">
    <w:name w:val="Текст примечания Знак"/>
    <w:basedOn w:val="DefaultParagraphFont"/>
    <w:link w:val="Annotationtext"/>
    <w:qFormat/>
    <w:rsid w:val="00d36934"/>
    <w:rPr/>
  </w:style>
  <w:style w:type="character" w:styleId="Style10" w:customStyle="1">
    <w:name w:val="Тема примечания Знак"/>
    <w:link w:val="Annotationsubject"/>
    <w:qFormat/>
    <w:rsid w:val="00d36934"/>
    <w:rPr>
      <w:b/>
      <w:bCs/>
    </w:rPr>
  </w:style>
  <w:style w:type="character" w:styleId="31" w:customStyle="1">
    <w:name w:val="Заголовок 3 Знак"/>
    <w:semiHidden/>
    <w:qFormat/>
    <w:rsid w:val="001b1bd9"/>
    <w:rPr>
      <w:rFonts w:ascii="Cambria" w:hAnsi="Cambria" w:eastAsia="Times New Roman" w:cs="Times New Roman"/>
      <w:b/>
      <w:bCs/>
      <w:color w:val="4F81BD"/>
    </w:rPr>
  </w:style>
  <w:style w:type="character" w:styleId="Style11" w:customStyle="1">
    <w:name w:val="Основной текст с отступом Знак"/>
    <w:basedOn w:val="DefaultParagraphFont"/>
    <w:qFormat/>
    <w:rsid w:val="00e00bca"/>
    <w:rPr/>
  </w:style>
  <w:style w:type="character" w:styleId="Style12" w:customStyle="1">
    <w:name w:val="комментарий"/>
    <w:uiPriority w:val="99"/>
    <w:qFormat/>
    <w:rsid w:val="00d562c0"/>
    <w:rPr>
      <w:rFonts w:cs="Times New Roman"/>
      <w:b/>
      <w:bCs/>
      <w:i/>
      <w:iCs/>
      <w:shd w:fill="FFFF99" w:val="clear"/>
    </w:rPr>
  </w:style>
  <w:style w:type="character" w:styleId="Style13" w:customStyle="1">
    <w:name w:val="Текст сноски Знак"/>
    <w:basedOn w:val="DefaultParagraphFont"/>
    <w:uiPriority w:val="99"/>
    <w:qFormat/>
    <w:rsid w:val="00f47c6a"/>
    <w:rPr/>
  </w:style>
  <w:style w:type="character" w:styleId="Style14" w:customStyle="1">
    <w:name w:val="Символ сноски"/>
    <w:qFormat/>
    <w:rsid w:val="00f47c6a"/>
    <w:rPr>
      <w:vertAlign w:val="superscript"/>
    </w:rPr>
  </w:style>
  <w:style w:type="character" w:styleId="FootnoteReference">
    <w:name w:val="Footnote Reference"/>
    <w:rPr>
      <w:vertAlign w:val="superscript"/>
    </w:rPr>
  </w:style>
  <w:style w:type="character" w:styleId="Style15" w:customStyle="1">
    <w:name w:val="Верхний колонтитул Знак"/>
    <w:basedOn w:val="DefaultParagraphFont"/>
    <w:uiPriority w:val="99"/>
    <w:qFormat/>
    <w:rsid w:val="000449a5"/>
    <w:rPr/>
  </w:style>
  <w:style w:type="character" w:styleId="Hyperlink">
    <w:name w:val="Hyperlink"/>
    <w:rsid w:val="005e6f32"/>
    <w:rPr>
      <w:color w:val="0000FF"/>
      <w:u w:val="single"/>
    </w:rPr>
  </w:style>
  <w:style w:type="character" w:styleId="Style16" w:customStyle="1">
    <w:name w:val="Нижний колонтитул Знак"/>
    <w:uiPriority w:val="99"/>
    <w:qFormat/>
    <w:rsid w:val="00d925fb"/>
    <w:rPr/>
  </w:style>
  <w:style w:type="character" w:styleId="Style17" w:customStyle="1">
    <w:name w:val="Абзац списка Знак"/>
    <w:link w:val="ListParagraph"/>
    <w:uiPriority w:val="34"/>
    <w:qFormat/>
    <w:locked/>
    <w:rsid w:val="00182860"/>
    <w:rPr/>
  </w:style>
  <w:style w:type="character" w:styleId="FollowedHyperlink">
    <w:name w:val="FollowedHyperlink"/>
    <w:rPr>
      <w:color w:val="800000"/>
      <w:u w:val="single"/>
    </w:rPr>
  </w:style>
  <w:style w:type="character" w:styleId="Style18" w:customStyle="1">
    <w:name w:val="Символ концевой сноски"/>
    <w:qFormat/>
    <w:rPr>
      <w:vertAlign w:val="superscript"/>
    </w:rPr>
  </w:style>
  <w:style w:type="character" w:styleId="EndnoteReference">
    <w:name w:val="Endnote Reference"/>
    <w:rPr>
      <w:vertAlign w:val="superscript"/>
    </w:rPr>
  </w:style>
  <w:style w:type="paragraph" w:styleId="Style19">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8"/>
    <w:rsid w:val="00084bde"/>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20">
    <w:name w:val="Указатель"/>
    <w:basedOn w:val="Normal"/>
    <w:qFormat/>
    <w:pPr>
      <w:suppressLineNumbers/>
    </w:pPr>
    <w:rPr>
      <w:rFonts w:cs="Arial Unicode MS"/>
    </w:rPr>
  </w:style>
  <w:style w:type="paragraph" w:styleId="Title">
    <w:name w:val="Title"/>
    <w:basedOn w:val="Normal"/>
    <w:next w:val="BodyText"/>
    <w:link w:val="Style7"/>
    <w:qFormat/>
    <w:rsid w:val="00a264b0"/>
    <w:pPr>
      <w:jc w:val="center"/>
    </w:pPr>
    <w:rPr>
      <w:b/>
      <w:bCs/>
      <w:sz w:val="24"/>
      <w:szCs w:val="24"/>
    </w:rPr>
  </w:style>
  <w:style w:type="paragraph" w:styleId="Caption1">
    <w:name w:val="caption1"/>
    <w:basedOn w:val="Normal"/>
    <w:qFormat/>
    <w:pPr>
      <w:suppressLineNumbers/>
      <w:spacing w:before="120" w:after="120"/>
    </w:pPr>
    <w:rPr>
      <w:rFonts w:cs="Arial Unicode MS"/>
      <w:i/>
      <w:iCs/>
      <w:sz w:val="24"/>
      <w:szCs w:val="24"/>
    </w:rPr>
  </w:style>
  <w:style w:type="paragraph" w:styleId="Indexheading">
    <w:name w:val="index heading"/>
    <w:basedOn w:val="Normal"/>
    <w:qFormat/>
    <w:pPr>
      <w:suppressLineNumbers/>
    </w:pPr>
    <w:rPr/>
  </w:style>
  <w:style w:type="paragraph" w:styleId="Caption11" w:customStyle="1">
    <w:name w:val="caption11"/>
    <w:basedOn w:val="Normal"/>
    <w:qFormat/>
    <w:pPr>
      <w:suppressLineNumbers/>
      <w:spacing w:before="120" w:after="120"/>
    </w:pPr>
    <w:rPr>
      <w:i/>
      <w:iCs/>
      <w:sz w:val="24"/>
      <w:szCs w:val="24"/>
    </w:rPr>
  </w:style>
  <w:style w:type="paragraph" w:styleId="Caption111" w:customStyle="1">
    <w:name w:val="caption111"/>
    <w:basedOn w:val="Normal"/>
    <w:qFormat/>
    <w:pPr>
      <w:suppressLineNumbers/>
      <w:spacing w:before="120" w:after="120"/>
    </w:pPr>
    <w:rPr>
      <w:i/>
      <w:iCs/>
      <w:sz w:val="24"/>
      <w:szCs w:val="24"/>
    </w:rPr>
  </w:style>
  <w:style w:type="paragraph" w:styleId="Caption1111" w:customStyle="1">
    <w:name w:val="caption1111"/>
    <w:basedOn w:val="Normal"/>
    <w:qFormat/>
    <w:pPr>
      <w:suppressLineNumbers/>
      <w:spacing w:before="120" w:after="120"/>
    </w:pPr>
    <w:rPr>
      <w:i/>
      <w:iCs/>
      <w:sz w:val="24"/>
      <w:szCs w:val="24"/>
    </w:rPr>
  </w:style>
  <w:style w:type="paragraph" w:styleId="Caption11111" w:customStyle="1">
    <w:name w:val="caption11111"/>
    <w:basedOn w:val="Normal"/>
    <w:qFormat/>
    <w:pPr>
      <w:suppressLineNumbers/>
      <w:spacing w:before="120" w:after="120"/>
    </w:pPr>
    <w:rPr>
      <w:i/>
      <w:iCs/>
      <w:sz w:val="24"/>
      <w:szCs w:val="24"/>
    </w:rPr>
  </w:style>
  <w:style w:type="paragraph" w:styleId="Style21" w:customStyle="1">
    <w:name w:val="Таблицы (моноширинный)"/>
    <w:basedOn w:val="Normal"/>
    <w:next w:val="Normal"/>
    <w:qFormat/>
    <w:rsid w:val="00a264b0"/>
    <w:pPr>
      <w:jc w:val="both"/>
    </w:pPr>
    <w:rPr>
      <w:rFonts w:ascii="Courier New" w:hAnsi="Courier New" w:cs="Courier New"/>
    </w:rPr>
  </w:style>
  <w:style w:type="paragraph" w:styleId="BodyTextIndent2">
    <w:name w:val="Body Text Indent 2"/>
    <w:basedOn w:val="Normal"/>
    <w:qFormat/>
    <w:rsid w:val="00a264b0"/>
    <w:pPr>
      <w:ind w:left="1843" w:hanging="0"/>
      <w:jc w:val="both"/>
    </w:pPr>
    <w:rPr>
      <w:sz w:val="24"/>
    </w:rPr>
  </w:style>
  <w:style w:type="paragraph" w:styleId="BalloonText">
    <w:name w:val="Balloon Text"/>
    <w:basedOn w:val="Normal"/>
    <w:semiHidden/>
    <w:qFormat/>
    <w:rsid w:val="00080acb"/>
    <w:pPr/>
    <w:rPr>
      <w:rFonts w:ascii="Tahoma" w:hAnsi="Tahoma" w:cs="Tahoma"/>
      <w:sz w:val="16"/>
      <w:szCs w:val="16"/>
    </w:rPr>
  </w:style>
  <w:style w:type="paragraph" w:styleId="BodyText2">
    <w:name w:val="Body Text 2"/>
    <w:basedOn w:val="Normal"/>
    <w:qFormat/>
    <w:rsid w:val="006257f9"/>
    <w:pPr>
      <w:widowControl/>
      <w:spacing w:lineRule="auto" w:line="480" w:before="0" w:after="120"/>
    </w:pPr>
    <w:rPr>
      <w:sz w:val="24"/>
      <w:szCs w:val="24"/>
    </w:rPr>
  </w:style>
  <w:style w:type="paragraph" w:styleId="Style22" w:customStyle="1">
    <w:name w:val="Колонтитул"/>
    <w:basedOn w:val="Normal"/>
    <w:qFormat/>
    <w:pPr/>
    <w:rPr/>
  </w:style>
  <w:style w:type="paragraph" w:styleId="Footer">
    <w:name w:val="Footer"/>
    <w:basedOn w:val="Normal"/>
    <w:link w:val="Style16"/>
    <w:uiPriority w:val="99"/>
    <w:rsid w:val="008b02a1"/>
    <w:pPr>
      <w:tabs>
        <w:tab w:val="clear" w:pos="708"/>
        <w:tab w:val="center" w:pos="4677" w:leader="none"/>
        <w:tab w:val="right" w:pos="9355" w:leader="none"/>
      </w:tabs>
    </w:pPr>
    <w:rPr/>
  </w:style>
  <w:style w:type="paragraph" w:styleId="BodyText3">
    <w:name w:val="Body Text 3"/>
    <w:basedOn w:val="Normal"/>
    <w:link w:val="3"/>
    <w:qFormat/>
    <w:rsid w:val="005a0965"/>
    <w:pPr>
      <w:spacing w:before="0" w:after="120"/>
    </w:pPr>
    <w:rPr>
      <w:sz w:val="16"/>
      <w:szCs w:val="16"/>
      <w:lang w:val="x-none" w:eastAsia="x-none"/>
    </w:rPr>
  </w:style>
  <w:style w:type="paragraph" w:styleId="Annotationtext">
    <w:name w:val="annotation text"/>
    <w:basedOn w:val="Normal"/>
    <w:link w:val="Style9"/>
    <w:qFormat/>
    <w:rsid w:val="00d36934"/>
    <w:pPr/>
    <w:rPr/>
  </w:style>
  <w:style w:type="paragraph" w:styleId="Annotationsubject">
    <w:name w:val="annotation subject"/>
    <w:basedOn w:val="Annotationtext"/>
    <w:next w:val="Annotationtext"/>
    <w:link w:val="Style10"/>
    <w:qFormat/>
    <w:rsid w:val="00d36934"/>
    <w:pPr/>
    <w:rPr>
      <w:b/>
      <w:bCs/>
      <w:lang w:val="x-none" w:eastAsia="x-none"/>
    </w:rPr>
  </w:style>
  <w:style w:type="paragraph" w:styleId="ListParagraph">
    <w:name w:val="List Paragraph"/>
    <w:basedOn w:val="Normal"/>
    <w:link w:val="Style17"/>
    <w:uiPriority w:val="34"/>
    <w:qFormat/>
    <w:rsid w:val="00ec6e7d"/>
    <w:pPr>
      <w:spacing w:before="0" w:after="0"/>
      <w:ind w:left="720" w:hanging="0"/>
      <w:contextualSpacing/>
    </w:pPr>
    <w:rPr/>
  </w:style>
  <w:style w:type="paragraph" w:styleId="Style23" w:customStyle="1">
    <w:name w:val="Знак Знак Знак Знак Знак Знак Знак Знак Знак"/>
    <w:basedOn w:val="Normal"/>
    <w:uiPriority w:val="99"/>
    <w:qFormat/>
    <w:rsid w:val="00d31bfd"/>
    <w:pPr>
      <w:widowControl/>
      <w:spacing w:lineRule="exact" w:line="240" w:before="0" w:after="160"/>
      <w:jc w:val="both"/>
    </w:pPr>
    <w:rPr>
      <w:rFonts w:ascii="Verdana" w:hAnsi="Verdana"/>
      <w:sz w:val="22"/>
      <w:lang w:val="en-US" w:eastAsia="en-US"/>
    </w:rPr>
  </w:style>
  <w:style w:type="paragraph" w:styleId="Style24" w:customStyle="1">
    <w:name w:val="Подпункт договора"/>
    <w:basedOn w:val="Normal"/>
    <w:qFormat/>
    <w:rsid w:val="00d31bfd"/>
    <w:pPr>
      <w:widowControl/>
      <w:tabs>
        <w:tab w:val="clear" w:pos="708"/>
        <w:tab w:val="left" w:pos="360" w:leader="none"/>
      </w:tabs>
      <w:jc w:val="both"/>
    </w:pPr>
    <w:rPr>
      <w:rFonts w:ascii="Arial" w:hAnsi="Arial"/>
    </w:rPr>
  </w:style>
  <w:style w:type="paragraph" w:styleId="ConsNormal" w:customStyle="1">
    <w:name w:val="ConsNormal"/>
    <w:qFormat/>
    <w:rsid w:val="00b53021"/>
    <w:pPr>
      <w:widowControl/>
      <w:suppressAutoHyphens w:val="true"/>
      <w:bidi w:val="0"/>
      <w:spacing w:before="0" w:after="0"/>
      <w:ind w:right="19772" w:firstLine="720"/>
      <w:jc w:val="left"/>
    </w:pPr>
    <w:rPr>
      <w:rFonts w:ascii="Arial" w:hAnsi="Arial" w:eastAsia="Times New Roman" w:cs="Times New Roman"/>
      <w:color w:val="auto"/>
      <w:kern w:val="0"/>
      <w:sz w:val="32"/>
      <w:szCs w:val="20"/>
      <w:lang w:eastAsia="en-US" w:val="ru-RU" w:bidi="ar-SA"/>
    </w:rPr>
  </w:style>
  <w:style w:type="paragraph" w:styleId="BodyTextIndent">
    <w:name w:val="Body Text Indent"/>
    <w:basedOn w:val="Normal"/>
    <w:link w:val="Style11"/>
    <w:rsid w:val="00e00bca"/>
    <w:pPr>
      <w:spacing w:before="0" w:after="120"/>
      <w:ind w:left="283" w:hanging="0"/>
    </w:pPr>
    <w:rPr/>
  </w:style>
  <w:style w:type="paragraph" w:styleId="Style25" w:customStyle="1">
    <w:name w:val="Знак"/>
    <w:basedOn w:val="Normal"/>
    <w:qFormat/>
    <w:rsid w:val="00d562c0"/>
    <w:pPr>
      <w:widowControl/>
      <w:spacing w:lineRule="exact" w:line="240" w:before="0" w:after="160"/>
    </w:pPr>
    <w:rPr>
      <w:rFonts w:ascii="Verdana" w:hAnsi="Verdana" w:cs="Verdana"/>
      <w:lang w:val="en-US" w:eastAsia="en-US"/>
    </w:rPr>
  </w:style>
  <w:style w:type="paragraph" w:styleId="FootnoteText">
    <w:name w:val="Footnote Text"/>
    <w:basedOn w:val="Normal"/>
    <w:link w:val="Style13"/>
    <w:uiPriority w:val="99"/>
    <w:rsid w:val="00f47c6a"/>
    <w:pPr/>
    <w:rPr/>
  </w:style>
  <w:style w:type="paragraph" w:styleId="ListBullet3">
    <w:name w:val="List Bullet 3"/>
    <w:basedOn w:val="Normal"/>
    <w:uiPriority w:val="99"/>
    <w:unhideWhenUsed/>
    <w:qFormat/>
    <w:rsid w:val="00fa3bf9"/>
    <w:pPr>
      <w:widowControl/>
      <w:tabs>
        <w:tab w:val="clear" w:pos="708"/>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fa3bf9"/>
    <w:pPr>
      <w:widowControl/>
      <w:tabs>
        <w:tab w:val="clear" w:pos="708"/>
        <w:tab w:val="left" w:pos="851" w:leader="none"/>
      </w:tabs>
      <w:spacing w:lineRule="auto" w:line="360"/>
      <w:ind w:left="851" w:hanging="851"/>
      <w:jc w:val="both"/>
    </w:pPr>
    <w:rPr>
      <w:rFonts w:eastAsia="Calibri"/>
      <w:sz w:val="28"/>
      <w:szCs w:val="28"/>
    </w:rPr>
  </w:style>
  <w:style w:type="paragraph" w:styleId="DocumentMap">
    <w:name w:val="Document Map"/>
    <w:basedOn w:val="Normal"/>
    <w:semiHidden/>
    <w:qFormat/>
    <w:rsid w:val="00936d2a"/>
    <w:pPr>
      <w:shd w:val="clear" w:color="auto" w:fill="000080"/>
    </w:pPr>
    <w:rPr>
      <w:rFonts w:ascii="Tahoma" w:hAnsi="Tahoma" w:cs="Tahoma"/>
    </w:rPr>
  </w:style>
  <w:style w:type="paragraph" w:styleId="Revision">
    <w:name w:val="Revision"/>
    <w:uiPriority w:val="99"/>
    <w:semiHidden/>
    <w:qFormat/>
    <w:rsid w:val="00f2582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5"/>
    <w:uiPriority w:val="99"/>
    <w:rsid w:val="000449a5"/>
    <w:pPr>
      <w:tabs>
        <w:tab w:val="clear" w:pos="708"/>
        <w:tab w:val="center" w:pos="4677" w:leader="none"/>
        <w:tab w:val="right" w:pos="9355" w:leader="none"/>
      </w:tabs>
    </w:pPr>
    <w:rPr/>
  </w:style>
  <w:style w:type="paragraph" w:styleId="Style26" w:customStyle="1">
    <w:name w:val="Пункт договора"/>
    <w:basedOn w:val="Normal"/>
    <w:qFormat/>
    <w:rsid w:val="00e65842"/>
    <w:pPr>
      <w:jc w:val="both"/>
    </w:pPr>
    <w:rPr>
      <w:rFonts w:ascii="Arial" w:hAnsi="Arial"/>
    </w:rPr>
  </w:style>
  <w:style w:type="paragraph" w:styleId="1" w:customStyle="1">
    <w:name w:val="Знак Знак Знак Знак Знак Знак Знак Знак Знак1"/>
    <w:basedOn w:val="Normal"/>
    <w:qFormat/>
    <w:rsid w:val="007d41d8"/>
    <w:pPr>
      <w:widowControl/>
      <w:spacing w:lineRule="exact" w:line="240" w:before="0" w:after="160"/>
      <w:jc w:val="both"/>
    </w:pPr>
    <w:rPr>
      <w:rFonts w:ascii="Verdana" w:hAnsi="Verdana"/>
      <w:sz w:val="22"/>
      <w:lang w:val="en-US" w:eastAsia="en-US"/>
    </w:rPr>
  </w:style>
  <w:style w:type="paragraph" w:styleId="11" w:customStyle="1">
    <w:name w:val="Обычный1"/>
    <w:qFormat/>
    <w:rsid w:val="0073039c"/>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a510bb"/>
    <w:pPr>
      <w:widowControl w:val="false"/>
      <w:suppressAutoHyphens w:val="true"/>
      <w:bidi w:val="0"/>
      <w:spacing w:before="0" w:after="0"/>
      <w:jc w:val="left"/>
    </w:pPr>
    <w:rPr>
      <w:rFonts w:ascii="Calibri" w:hAnsi="Calibri" w:cs="Calibri" w:eastAsia="Times New Roman"/>
      <w:color w:val="auto"/>
      <w:kern w:val="0"/>
      <w:sz w:val="22"/>
      <w:szCs w:val="20"/>
      <w:lang w:val="ru-RU" w:eastAsia="ru-RU" w:bidi="ar-SA"/>
    </w:rPr>
  </w:style>
  <w:style w:type="paragraph" w:styleId="EndnoteText">
    <w:name w:val="Endnote Text"/>
    <w:basedOn w:val="Normal"/>
    <w:pPr>
      <w:suppressLineNumbers/>
      <w:ind w:left="340" w:hanging="340"/>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b">
    <w:name w:val="Table Grid"/>
    <w:basedOn w:val="a1"/>
    <w:rsid w:val="00084bd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d@rushydro.ru" TargetMode="External"/><Relationship Id="rId3" Type="http://schemas.openxmlformats.org/officeDocument/2006/relationships/hyperlink" Target="consultantplus://offline/ref=94D5CE8889791A29DE57299515463A9D6134D8237B999C803E6F853513x2A2P" TargetMode="External"/><Relationship Id="rId4" Type="http://schemas.openxmlformats.org/officeDocument/2006/relationships/hyperlink" Target="consultantplus://offline/ref=94D5CE8889791A29DE57299515463A9D6135D2287D929C803E6F853513x2A2P" TargetMode="External"/><Relationship Id="rId5" Type="http://schemas.openxmlformats.org/officeDocument/2006/relationships/hyperlink" Target="consultantplus://offline/ref=79440D5123ABA6A25F43346AB59DBAAC7032C8E1556DA64FAED62E167F76889C2B7C475C32EFC59BJ8rDH" TargetMode="External"/><Relationship Id="rId6" Type="http://schemas.openxmlformats.org/officeDocument/2006/relationships/image" Target="media/image1.png"/><Relationship Id="rId7" Type="http://schemas.openxmlformats.org/officeDocument/2006/relationships/image" Target="media/image2.wmf"/><Relationship Id="rId8" Type="http://schemas.openxmlformats.org/officeDocument/2006/relationships/image" Target="media/image3.wmf"/><Relationship Id="rId9" Type="http://schemas.openxmlformats.org/officeDocument/2006/relationships/image" Target="media/image4.wmf"/><Relationship Id="rId10" Type="http://schemas.openxmlformats.org/officeDocument/2006/relationships/image" Target="media/image5.wmf"/><Relationship Id="rId11" Type="http://schemas.openxmlformats.org/officeDocument/2006/relationships/image" Target="media/image6.wmf"/><Relationship Id="rId12" Type="http://schemas.openxmlformats.org/officeDocument/2006/relationships/image" Target="media/image7.wmf"/><Relationship Id="rId13" Type="http://schemas.openxmlformats.org/officeDocument/2006/relationships/image" Target="media/image8.wmf"/><Relationship Id="rId14" Type="http://schemas.openxmlformats.org/officeDocument/2006/relationships/image" Target="media/image9.wmf"/><Relationship Id="rId15" Type="http://schemas.openxmlformats.org/officeDocument/2006/relationships/image" Target="media/image10.wmf"/><Relationship Id="rId16" Type="http://schemas.openxmlformats.org/officeDocument/2006/relationships/image" Target="media/image11.wmf"/><Relationship Id="rId17" Type="http://schemas.openxmlformats.org/officeDocument/2006/relationships/image" Target="media/image12.wmf"/><Relationship Id="rId18" Type="http://schemas.openxmlformats.org/officeDocument/2006/relationships/image" Target="media/image13.wmf"/><Relationship Id="rId19" Type="http://schemas.openxmlformats.org/officeDocument/2006/relationships/image" Target="media/image14.wmf"/><Relationship Id="rId20" Type="http://schemas.openxmlformats.org/officeDocument/2006/relationships/image" Target="media/image15.wmf"/><Relationship Id="rId21" Type="http://schemas.openxmlformats.org/officeDocument/2006/relationships/image" Target="media/image16.wmf"/><Relationship Id="rId22" Type="http://schemas.openxmlformats.org/officeDocument/2006/relationships/image" Target="media/image17.wmf"/><Relationship Id="rId23" Type="http://schemas.openxmlformats.org/officeDocument/2006/relationships/image" Target="media/image18.wmf"/><Relationship Id="rId24" Type="http://schemas.openxmlformats.org/officeDocument/2006/relationships/image" Target="media/image19.wmf"/><Relationship Id="rId25" Type="http://schemas.openxmlformats.org/officeDocument/2006/relationships/image" Target="media/image20.wmf"/><Relationship Id="rId26" Type="http://schemas.openxmlformats.org/officeDocument/2006/relationships/image" Target="media/image21.wmf"/><Relationship Id="rId27" Type="http://schemas.openxmlformats.org/officeDocument/2006/relationships/image" Target="media/image22.wmf"/><Relationship Id="rId28" Type="http://schemas.openxmlformats.org/officeDocument/2006/relationships/image" Target="media/image21.wmf"/><Relationship Id="rId29" Type="http://schemas.openxmlformats.org/officeDocument/2006/relationships/image" Target="media/image22.wmf"/><Relationship Id="rId30" Type="http://schemas.openxmlformats.org/officeDocument/2006/relationships/header" Target="header1.xml"/><Relationship Id="rId31" Type="http://schemas.openxmlformats.org/officeDocument/2006/relationships/footer" Target="footer1.xml"/><Relationship Id="rId32" Type="http://schemas.openxmlformats.org/officeDocument/2006/relationships/footnotes" Target="footnotes.xml"/><Relationship Id="rId33" Type="http://schemas.openxmlformats.org/officeDocument/2006/relationships/numbering" Target="numbering.xml"/><Relationship Id="rId34" Type="http://schemas.openxmlformats.org/officeDocument/2006/relationships/fontTable" Target="fontTable.xml"/><Relationship Id="rId35" Type="http://schemas.openxmlformats.org/officeDocument/2006/relationships/settings" Target="settings.xml"/><Relationship Id="rId36" Type="http://schemas.openxmlformats.org/officeDocument/2006/relationships/theme" Target="theme/theme1.xml"/><Relationship Id="rId37" Type="http://schemas.openxmlformats.org/officeDocument/2006/relationships/customXml" Target="../customXml/item1.xml"/><Relationship Id="rId38" Type="http://schemas.openxmlformats.org/officeDocument/2006/relationships/customXml" Target="../customXml/item2.xml"/><Relationship Id="rId39" Type="http://schemas.openxmlformats.org/officeDocument/2006/relationships/customXml" Target="../customXml/item3.xml"/><Relationship Id="rId40"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61FCD7A3-1FAA-4EAB-97AC-8394ADCA0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Application>AlterOffice/3.4.0.9$Linux_X86_64 LibreOffice_project/b8daf9e823b1a5463a2f48435ddc2e8696e7d4fc</Application>
  <AppVersion>15.0000</AppVersion>
  <Pages>25</Pages>
  <Words>8612</Words>
  <Characters>60910</Characters>
  <CharactersWithSpaces>61577</CharactersWithSpaces>
  <Paragraphs>334</Paragraphs>
  <Company>Inter RAO UES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2025-03-31T07:59:00Z</dcterms:created>
  <dc:creator>tsypilev_ag</dc:creator>
  <dc:description/>
  <dc:language>ru-RU</dc:language>
  <cp:lastModifiedBy>raenkoin@corp.gidroogk.com</cp:lastModifiedBy>
  <cp:lastPrinted>2025-01-24T10:05:00Z</cp:lastPrinted>
  <dcterms:modified xsi:type="dcterms:W3CDTF">2026-08-14T11:38:09Z</dcterms:modified>
  <cp:revision>43</cp:revision>
  <dc:subject/>
  <dc:title>Договор № _________</dc:title>
</cp:coreProperties>
</file>

<file path=docProps/custom.xml><?xml version="1.0" encoding="utf-8"?>
<Properties xmlns="http://schemas.openxmlformats.org/officeDocument/2006/custom-properties" xmlns:vt="http://schemas.openxmlformats.org/officeDocument/2006/docPropsVTypes"/>
</file>